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B1A05" w14:textId="77777777" w:rsidR="003E0374" w:rsidRDefault="00924F52">
      <w:pPr>
        <w:pStyle w:val="16"/>
        <w:spacing w:after="0" w:line="240" w:lineRule="auto"/>
        <w:ind w:firstLine="397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</w:rPr>
        <w:t>Скоординированное финансовое развитие и возрождение села в провинции Цинхай</w:t>
      </w:r>
    </w:p>
    <w:p w14:paraId="357B1A06" w14:textId="77777777" w:rsidR="003E0374" w:rsidRDefault="00924F52">
      <w:pPr>
        <w:pStyle w:val="16"/>
        <w:spacing w:after="0" w:line="240" w:lineRule="auto"/>
        <w:ind w:firstLine="397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</w:rPr>
        <w:t>Чжоу Седун</w:t>
      </w:r>
    </w:p>
    <w:p w14:paraId="357B1A07" w14:textId="77777777" w:rsidR="003E0374" w:rsidRDefault="00924F52">
      <w:pPr>
        <w:pStyle w:val="16"/>
        <w:spacing w:after="0" w:line="240" w:lineRule="auto"/>
        <w:ind w:firstLine="39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Студент (магистр)</w:t>
      </w:r>
    </w:p>
    <w:p w14:paraId="357B1A08" w14:textId="77777777" w:rsidR="003E0374" w:rsidRDefault="00924F52">
      <w:pPr>
        <w:pStyle w:val="16"/>
        <w:spacing w:after="0" w:line="240" w:lineRule="auto"/>
        <w:ind w:firstLine="39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Московский государственный университет имени М.В.Ломоносова,</w:t>
      </w:r>
    </w:p>
    <w:p w14:paraId="357B1A09" w14:textId="77777777" w:rsidR="003E0374" w:rsidRDefault="00924F52">
      <w:pPr>
        <w:pStyle w:val="16"/>
        <w:spacing w:after="0" w:line="240" w:lineRule="auto"/>
        <w:ind w:firstLine="397"/>
        <w:jc w:val="center"/>
        <w:rPr>
          <w:rFonts w:ascii="Times New Roman" w:hAnsi="Times New Roman"/>
          <w:i/>
          <w:color w:val="000000" w:themeColor="text1"/>
          <w:sz w:val="24"/>
          <w:szCs w:val="24"/>
        </w:rPr>
      </w:pPr>
      <w:r>
        <w:rPr>
          <w:rFonts w:ascii="Times New Roman" w:hAnsi="Times New Roman"/>
          <w:i/>
          <w:color w:val="000000" w:themeColor="text1"/>
          <w:sz w:val="24"/>
          <w:szCs w:val="24"/>
        </w:rPr>
        <w:t>Институт русского языка и культуры, Москва, Россия</w:t>
      </w:r>
    </w:p>
    <w:p w14:paraId="357B1A0A" w14:textId="77777777" w:rsidR="003E0374" w:rsidRDefault="00924F52">
      <w:pPr>
        <w:pStyle w:val="15"/>
        <w:shd w:val="clear" w:color="auto" w:fill="FFFFFF"/>
        <w:spacing w:after="0" w:line="240" w:lineRule="auto"/>
        <w:ind w:left="0"/>
        <w:jc w:val="center"/>
        <w:rPr>
          <w:rFonts w:eastAsia="Times New Roman"/>
          <w:i/>
          <w:color w:val="000000" w:themeColor="text1"/>
          <w:lang w:eastAsia="ru-RU"/>
        </w:rPr>
      </w:pPr>
      <w:r>
        <w:rPr>
          <w:i/>
          <w:color w:val="000000" w:themeColor="text1"/>
          <w:lang w:val="en-US"/>
        </w:rPr>
        <w:t>E</w:t>
      </w:r>
      <w:r>
        <w:rPr>
          <w:i/>
          <w:color w:val="000000" w:themeColor="text1"/>
        </w:rPr>
        <w:t>-</w:t>
      </w:r>
      <w:r>
        <w:rPr>
          <w:i/>
          <w:color w:val="000000" w:themeColor="text1"/>
          <w:lang w:val="en-US"/>
        </w:rPr>
        <w:t>mail</w:t>
      </w:r>
      <w:r>
        <w:rPr>
          <w:i/>
          <w:color w:val="000000" w:themeColor="text1"/>
        </w:rPr>
        <w:t xml:space="preserve">: </w:t>
      </w:r>
      <w:r>
        <w:rPr>
          <w:i/>
        </w:rPr>
        <w:t>18109780313@163.com</w:t>
      </w:r>
    </w:p>
    <w:p w14:paraId="357B1A0B" w14:textId="77777777" w:rsidR="003E0374" w:rsidRDefault="003E0374">
      <w:pPr>
        <w:pStyle w:val="15"/>
        <w:shd w:val="clear" w:color="auto" w:fill="FFFFFF"/>
        <w:spacing w:after="0" w:line="240" w:lineRule="auto"/>
        <w:ind w:left="0"/>
        <w:jc w:val="center"/>
        <w:rPr>
          <w:rFonts w:eastAsia="Times New Roman"/>
          <w:i/>
          <w:color w:val="000000" w:themeColor="text1"/>
          <w:lang w:eastAsia="ru-RU"/>
        </w:rPr>
      </w:pPr>
    </w:p>
    <w:p w14:paraId="357B1A0C" w14:textId="77777777" w:rsidR="003E0374" w:rsidRDefault="00924F52">
      <w:pPr>
        <w:spacing w:after="0" w:line="240" w:lineRule="auto"/>
        <w:rPr>
          <w:color w:val="000000" w:themeColor="text1"/>
          <w:shd w:val="clear" w:color="auto" w:fill="FFFFFF"/>
        </w:rPr>
      </w:pPr>
      <w:r>
        <w:rPr>
          <w:color w:val="000000" w:themeColor="text1"/>
        </w:rPr>
        <w:t xml:space="preserve">В настоящее время в Китае большое внимание уделяется </w:t>
      </w:r>
      <w:r>
        <w:rPr>
          <w:color w:val="000000" w:themeColor="text1"/>
          <w:shd w:val="clear" w:color="auto" w:fill="FFFFFF"/>
        </w:rPr>
        <w:t xml:space="preserve">возрождению сельских районов, модернизации и финансовому обеспечению сельского хозяйства. </w:t>
      </w:r>
      <w:r>
        <w:rPr>
          <w:color w:val="000000" w:themeColor="text1"/>
        </w:rPr>
        <w:t xml:space="preserve">Начиная с 2005 года, в ряде документов Центрального комитета партии Китая эти вопросы были определены как первоочередные. </w:t>
      </w:r>
    </w:p>
    <w:p w14:paraId="357B1A0D" w14:textId="77777777" w:rsidR="003E0374" w:rsidRDefault="00924F52">
      <w:pPr>
        <w:widowControl/>
        <w:spacing w:after="0" w:line="240" w:lineRule="auto"/>
      </w:pPr>
      <w:r>
        <w:t>Каковы основные проблемы сельских районов? Во-первых, во многих хозяйствах сохраняются устаревшие методы сельхозпроизводства. Уровень механизации и землепользования нуждается в улучшении. Научно-технические инновации не применяются в необходимых масштабах. Во-вторых, в сельской местности</w:t>
      </w:r>
      <w:r>
        <w:rPr>
          <w:strike/>
        </w:rPr>
        <w:t xml:space="preserve"> </w:t>
      </w:r>
      <w:r>
        <w:t>существуют экологические проблемы.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2B2B2B"/>
          <w:shd w:val="clear" w:color="auto" w:fill="FFFFFF"/>
        </w:rPr>
        <w:t xml:space="preserve">Сельское хозяйство как источник загрязнения окружающей среды приводит к истощению природных ресурсов, деградации естественных экосистем. </w:t>
      </w:r>
      <w:r>
        <w:t xml:space="preserve">В-третьих, большое число молодых людей переезжает в города. Сельской местности не хватает молодых талантливых специалистов. Происходит резкое старение населения сельских районов. В-четвертых, не хватает управленческих кадров </w:t>
      </w:r>
      <w:r>
        <w:rPr>
          <w:color w:val="000000" w:themeColor="text1"/>
        </w:rPr>
        <w:t>[1].</w:t>
      </w:r>
    </w:p>
    <w:p w14:paraId="357B1A0E" w14:textId="77777777" w:rsidR="003E0374" w:rsidRDefault="00924F52">
      <w:pPr>
        <w:widowControl/>
        <w:spacing w:after="0" w:line="240" w:lineRule="auto"/>
        <w:rPr>
          <w:color w:val="000000" w:themeColor="text1"/>
          <w:kern w:val="0"/>
          <w:lang w:eastAsia="ru-RU"/>
        </w:rPr>
      </w:pPr>
      <w:r>
        <w:rPr>
          <w:color w:val="000000" w:themeColor="text1"/>
          <w:shd w:val="clear" w:color="auto" w:fill="FFFFFF"/>
        </w:rPr>
        <w:t>Одной из главных особенностей стратегии возрождения сельского Китая является переход от простого повышения сельхозпроизводительности к устойчивому развитию сельской экономики. В рамках этой стратегии Китай активно инвестирует в развитие инфраструктуры сельских районов, содействует повышению доходов сельского населения и созданию рабочих мест в сельской местности.</w:t>
      </w:r>
      <w:r>
        <w:rPr>
          <w:color w:val="000000" w:themeColor="text1"/>
          <w:kern w:val="0"/>
          <w:lang w:eastAsia="ru-RU"/>
        </w:rPr>
        <w:t xml:space="preserve"> </w:t>
      </w:r>
      <w:r>
        <w:rPr>
          <w:color w:val="000000" w:themeColor="text1"/>
        </w:rPr>
        <w:t>Принимаемые государством меры</w:t>
      </w:r>
      <w:r>
        <w:rPr>
          <w:rFonts w:ascii="Arial" w:hAnsi="Arial" w:cs="Arial"/>
          <w:color w:val="000000" w:themeColor="text1"/>
          <w:sz w:val="27"/>
          <w:szCs w:val="27"/>
        </w:rPr>
        <w:t xml:space="preserve"> </w:t>
      </w:r>
      <w:r>
        <w:t xml:space="preserve">должны помочь сократить разрыв между городом и деревней и способствовать свободному обращению и обмену городскими и сельскими ресурсами (включая финансовые средства, таланты, и т.д.). А создание надежной системы страхования по старости и медицинского страхования сельских </w:t>
      </w:r>
      <w:r>
        <w:rPr>
          <w:color w:val="000000" w:themeColor="text1"/>
        </w:rPr>
        <w:t xml:space="preserve">жителей поможет решить </w:t>
      </w:r>
      <w:r>
        <w:t xml:space="preserve">медицинские проблемы, с которыми сталкиваются </w:t>
      </w:r>
      <w:r>
        <w:rPr>
          <w:color w:val="000000" w:themeColor="text1"/>
        </w:rPr>
        <w:t>сельские жители. Но для этого требуются значительные капиталовложения [2].</w:t>
      </w:r>
    </w:p>
    <w:p w14:paraId="357B1A0F" w14:textId="77777777" w:rsidR="003E0374" w:rsidRDefault="00924F52">
      <w:pPr>
        <w:spacing w:after="0" w:line="240" w:lineRule="auto"/>
      </w:pPr>
      <w:r>
        <w:rPr>
          <w:color w:val="000000" w:themeColor="text1"/>
        </w:rPr>
        <w:t xml:space="preserve">Государственная инициатива по возрождению </w:t>
      </w:r>
      <w:r>
        <w:t xml:space="preserve">сельхозрайонов уже привела к положительным изменениям во многих провинциях Китая, </w:t>
      </w:r>
      <w:proofErr w:type="gramStart"/>
      <w:r>
        <w:t>и в частности</w:t>
      </w:r>
      <w:proofErr w:type="gramEnd"/>
      <w:r>
        <w:t xml:space="preserve"> в провинции Цинхай. Рассмотрим положительные изменения на примере этой провинции.</w:t>
      </w:r>
    </w:p>
    <w:p w14:paraId="357B1A10" w14:textId="77777777" w:rsidR="003E0374" w:rsidRDefault="00924F52">
      <w:pPr>
        <w:spacing w:after="0" w:line="240" w:lineRule="auto"/>
      </w:pPr>
      <w:r>
        <w:t xml:space="preserve">В провинции Цинхай была создана диверсифицированная финансовая система, включающая </w:t>
      </w:r>
      <w:r>
        <w:rPr>
          <w:color w:val="000000" w:themeColor="text1"/>
        </w:rPr>
        <w:t>деятельность б</w:t>
      </w:r>
      <w:r>
        <w:t xml:space="preserve">анков, компаний по ценным бумагам, консалтинговых учреждений по инвестициям в ценные бумаги, страховых компаний, фьючерсных </w:t>
      </w:r>
      <w:r>
        <w:rPr>
          <w:color w:val="000000" w:themeColor="text1"/>
        </w:rPr>
        <w:t>фирм и других организаций. Э</w:t>
      </w:r>
      <w:r>
        <w:t>та инициатива позволяет компаниям привлекать необходимые средства непосредственно через рынок капитала, эффективно снижая давление на них, связанное с задолженностью, и повышая эффективность использования капитала. По состоянию на 2021 год в провинции Цинхай была создана новая компания по ценным бумагам</w:t>
      </w:r>
      <w:r>
        <w:rPr>
          <w:color w:val="000000" w:themeColor="text1"/>
        </w:rPr>
        <w:t>. Число компаний, зарегистрированных на би</w:t>
      </w:r>
      <w:r>
        <w:rPr>
          <w:color w:val="000000" w:themeColor="text1"/>
        </w:rPr>
        <w:t xml:space="preserve">рже, увеличилось до 10, а общий объем привлеченных средств достиг 349,1 </w:t>
      </w:r>
      <w:proofErr w:type="gramStart"/>
      <w:r>
        <w:rPr>
          <w:color w:val="000000" w:themeColor="text1"/>
        </w:rPr>
        <w:t>млрд.</w:t>
      </w:r>
      <w:proofErr w:type="gramEnd"/>
      <w:r>
        <w:rPr>
          <w:color w:val="000000" w:themeColor="text1"/>
        </w:rPr>
        <w:t xml:space="preserve"> юаней. Масштабы фьючерсного рынка также демонстрируют </w:t>
      </w:r>
      <w:r>
        <w:t>тенденцию к быстрому расширению</w:t>
      </w:r>
      <w:r>
        <w:rPr>
          <w:color w:val="0070C0"/>
        </w:rPr>
        <w:t>:</w:t>
      </w:r>
      <w:r>
        <w:t xml:space="preserve"> объем фьючерсных агентских сделок достиг 1159,674 </w:t>
      </w:r>
      <w:proofErr w:type="gramStart"/>
      <w:r>
        <w:t>млрд.</w:t>
      </w:r>
      <w:proofErr w:type="gramEnd"/>
      <w:r>
        <w:t xml:space="preserve"> юане</w:t>
      </w:r>
      <w:r>
        <w:rPr>
          <w:color w:val="000000" w:themeColor="text1"/>
        </w:rPr>
        <w:t xml:space="preserve">й. Масштабы рынка ценных </w:t>
      </w:r>
      <w:r>
        <w:t xml:space="preserve">бумаг в провинции </w:t>
      </w:r>
      <w:r>
        <w:lastRenderedPageBreak/>
        <w:t xml:space="preserve">продолжают расширяться: общая сумма операций с ценными бумагами превысила 365,323 </w:t>
      </w:r>
      <w:proofErr w:type="gramStart"/>
      <w:r>
        <w:t>млрд.</w:t>
      </w:r>
      <w:proofErr w:type="gramEnd"/>
      <w:r>
        <w:t xml:space="preserve"> юаней </w:t>
      </w:r>
      <w:r>
        <w:rPr>
          <w:color w:val="000000" w:themeColor="text1"/>
        </w:rPr>
        <w:t>[3].</w:t>
      </w:r>
    </w:p>
    <w:p w14:paraId="357B1A11" w14:textId="04AECA10" w:rsidR="003E0374" w:rsidRDefault="00924F52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 xml:space="preserve">Начиная с 2009 года ВВП провинции показывает устойчивый рост. С 108 </w:t>
      </w:r>
      <w:proofErr w:type="gramStart"/>
      <w:r>
        <w:rPr>
          <w:color w:val="000000" w:themeColor="text1"/>
        </w:rPr>
        <w:t>млрд.</w:t>
      </w:r>
      <w:proofErr w:type="gramEnd"/>
      <w:r>
        <w:rPr>
          <w:color w:val="000000" w:themeColor="text1"/>
        </w:rPr>
        <w:t xml:space="preserve"> 127 </w:t>
      </w:r>
      <w:proofErr w:type="gramStart"/>
      <w:r>
        <w:rPr>
          <w:color w:val="000000" w:themeColor="text1"/>
        </w:rPr>
        <w:t>млн.</w:t>
      </w:r>
      <w:proofErr w:type="gramEnd"/>
      <w:r>
        <w:rPr>
          <w:color w:val="000000" w:themeColor="text1"/>
        </w:rPr>
        <w:t xml:space="preserve"> юаней в 2009 году он вырос до 338 </w:t>
      </w:r>
      <w:proofErr w:type="gramStart"/>
      <w:r>
        <w:rPr>
          <w:color w:val="000000" w:themeColor="text1"/>
        </w:rPr>
        <w:t>млрд.</w:t>
      </w:r>
      <w:proofErr w:type="gramEnd"/>
      <w:r>
        <w:rPr>
          <w:color w:val="000000" w:themeColor="text1"/>
        </w:rPr>
        <w:t xml:space="preserve"> 51 </w:t>
      </w:r>
      <w:proofErr w:type="gramStart"/>
      <w:r>
        <w:rPr>
          <w:color w:val="000000" w:themeColor="text1"/>
        </w:rPr>
        <w:t>млн.</w:t>
      </w:r>
      <w:proofErr w:type="gramEnd"/>
      <w:r>
        <w:rPr>
          <w:color w:val="000000" w:themeColor="text1"/>
        </w:rPr>
        <w:t xml:space="preserve"> юаней в 2021 году. О значительных успехах в развитии провинции Цинхай свидетельствует рост дополнительной стоимости сельского хозяйства. Если в 2009 году она составляла всего 10,7 </w:t>
      </w:r>
      <w:proofErr w:type="gramStart"/>
      <w:r>
        <w:rPr>
          <w:color w:val="000000" w:themeColor="text1"/>
        </w:rPr>
        <w:t>млрд.</w:t>
      </w:r>
      <w:proofErr w:type="gramEnd"/>
      <w:r>
        <w:rPr>
          <w:color w:val="000000" w:themeColor="text1"/>
        </w:rPr>
        <w:t xml:space="preserve"> юаней, то в 2018 году достигла 27,1 </w:t>
      </w:r>
      <w:proofErr w:type="gramStart"/>
      <w:r>
        <w:rPr>
          <w:color w:val="000000" w:themeColor="text1"/>
        </w:rPr>
        <w:t>млрд.</w:t>
      </w:r>
      <w:proofErr w:type="gramEnd"/>
      <w:r>
        <w:rPr>
          <w:color w:val="000000" w:themeColor="text1"/>
        </w:rPr>
        <w:t xml:space="preserve"> юаней, увеличившись в 2,5 раза. Вырос и общий объем производства зерна в провинции - с 1,015 </w:t>
      </w:r>
      <w:proofErr w:type="gramStart"/>
      <w:r>
        <w:rPr>
          <w:color w:val="000000" w:themeColor="text1"/>
        </w:rPr>
        <w:t>млн.</w:t>
      </w:r>
      <w:proofErr w:type="gramEnd"/>
      <w:r>
        <w:rPr>
          <w:color w:val="000000" w:themeColor="text1"/>
        </w:rPr>
        <w:t xml:space="preserve"> тонн в 2012г. до 1,0909 </w:t>
      </w:r>
      <w:proofErr w:type="gramStart"/>
      <w:r>
        <w:rPr>
          <w:color w:val="000000" w:themeColor="text1"/>
        </w:rPr>
        <w:t>млн.</w:t>
      </w:r>
      <w:proofErr w:type="gramEnd"/>
      <w:r>
        <w:rPr>
          <w:color w:val="000000" w:themeColor="text1"/>
        </w:rPr>
        <w:t xml:space="preserve"> тонн в 2021г. [3]. Эти успехи отражают тот факт, что </w:t>
      </w:r>
      <w:r>
        <w:rPr>
          <w:color w:val="000000" w:themeColor="text1"/>
        </w:rPr>
        <w:t xml:space="preserve">природная среда все меньше влияет на урожайность зерновых, улучшается содержание сельскохозяйственной науки и техники, а сельскохозяйственная инфраструктура продолжает совершенствоваться. </w:t>
      </w:r>
    </w:p>
    <w:p w14:paraId="357B1A12" w14:textId="77777777" w:rsidR="003E0374" w:rsidRDefault="00924F52">
      <w:pPr>
        <w:widowControl/>
        <w:spacing w:after="0" w:line="240" w:lineRule="auto"/>
      </w:pPr>
      <w:r>
        <w:t xml:space="preserve">В период с 2010 по 2020 год плавно росло благосостояние сельских жителей провинции Цинхай. Так, располагаемый доход на душу населения увеличился в три раза и составил 12 342 </w:t>
      </w:r>
      <w:proofErr w:type="gramStart"/>
      <w:r>
        <w:t>юаней</w:t>
      </w:r>
      <w:proofErr w:type="gramEnd"/>
      <w:r>
        <w:rPr>
          <w:color w:val="000000" w:themeColor="text1"/>
        </w:rPr>
        <w:t xml:space="preserve">. </w:t>
      </w:r>
      <w:r>
        <w:t>Также значительно выросли потребительские расходы на душу населения - с 4 779 юаней до 12 134 юаней</w:t>
      </w:r>
      <w:r>
        <w:rPr>
          <w:color w:val="000000" w:themeColor="text1"/>
        </w:rPr>
        <w:t xml:space="preserve"> [3]. Стоит отметить, </w:t>
      </w:r>
      <w:r>
        <w:t>что в этот период соотношение потребительских расходов на душу населения к располагаемому доходу постепенно снижалось, что свидетельствует о том, что сельские жители имеют больше сбережений и планируют инвестиции в будущем. Эти данные отражают результаты прогресса, достигнутого в местной экономике провинции. Столичный район провинции Цинхай добился значительного прогресса в возрожд</w:t>
      </w:r>
      <w:r>
        <w:t>ении сельских районов и финансовой индустрии.</w:t>
      </w:r>
    </w:p>
    <w:p w14:paraId="357B1A13" w14:textId="40EAA453" w:rsidR="003E0374" w:rsidRDefault="00924F52">
      <w:pPr>
        <w:spacing w:after="0" w:line="240" w:lineRule="auto"/>
        <w:rPr>
          <w:strike/>
          <w:color w:val="000000" w:themeColor="text1"/>
        </w:rPr>
      </w:pPr>
      <w:r>
        <w:rPr>
          <w:color w:val="000000" w:themeColor="text1"/>
        </w:rPr>
        <w:t>Однако провинция Цинхай имеет очевидные региональные диспропорции в финансировании и развитии своих сельских районов. Финансовая индустрия и развитие сельхозпоселений в отдаленных районах провинции продвигаются медленно и пока находятся в сложном положении. Кроме того, сохраняется</w:t>
      </w:r>
      <w:r>
        <w:rPr>
          <w:color w:val="000000" w:themeColor="text1"/>
        </w:rPr>
        <w:t xml:space="preserve"> разрыв между столицей провинции и отдаленными районами.</w:t>
      </w:r>
    </w:p>
    <w:p w14:paraId="357B1A14" w14:textId="77777777" w:rsidR="003E0374" w:rsidRDefault="00924F52">
      <w:pPr>
        <w:spacing w:after="0" w:line="240" w:lineRule="auto"/>
        <w:rPr>
          <w:color w:val="000000" w:themeColor="text1"/>
          <w:lang w:val="en-US"/>
        </w:rPr>
      </w:pPr>
      <w:r>
        <w:rPr>
          <w:color w:val="000000" w:themeColor="text1"/>
        </w:rPr>
        <w:t xml:space="preserve">В целом, расширение масштабов финансирования способствует развитию сельских районов провинции Цинхай, улучшению сельской среды и соотношения доходов между городом и деревней. </w:t>
      </w:r>
    </w:p>
    <w:p w14:paraId="755CCD5D" w14:textId="77777777" w:rsidR="0054181C" w:rsidRPr="0054181C" w:rsidRDefault="0054181C">
      <w:pPr>
        <w:spacing w:after="0" w:line="240" w:lineRule="auto"/>
        <w:rPr>
          <w:b/>
          <w:color w:val="000000" w:themeColor="text1"/>
          <w:lang w:val="en-US"/>
        </w:rPr>
      </w:pPr>
    </w:p>
    <w:p w14:paraId="357B1A15" w14:textId="77777777" w:rsidR="003E0374" w:rsidRDefault="00924F52">
      <w:pPr>
        <w:spacing w:after="0" w:line="240" w:lineRule="auto"/>
        <w:ind w:firstLine="0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>Литература</w:t>
      </w:r>
    </w:p>
    <w:p w14:paraId="357B1A16" w14:textId="77777777" w:rsidR="003E0374" w:rsidRDefault="00924F52" w:rsidP="0054181C">
      <w:pPr>
        <w:pStyle w:val="aa"/>
        <w:numPr>
          <w:ilvl w:val="0"/>
          <w:numId w:val="1"/>
        </w:numPr>
        <w:spacing w:after="0" w:line="240" w:lineRule="auto"/>
        <w:ind w:left="0" w:firstLine="397"/>
        <w:rPr>
          <w:rFonts w:eastAsia="STKaiti"/>
        </w:rPr>
      </w:pPr>
      <w:r>
        <w:t xml:space="preserve">Лю Шийи. Значение и путь финансовой поддержки новой урбанизации Китая [J]. Исследования в области городского развития, 2017, 24 (07): С. </w:t>
      </w:r>
      <w:proofErr w:type="gramStart"/>
      <w:r>
        <w:t>63-67</w:t>
      </w:r>
      <w:proofErr w:type="gramEnd"/>
      <w:r>
        <w:t>.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刘士义</w:t>
      </w:r>
      <w:r>
        <w:rPr>
          <w:rFonts w:hint="eastAsia"/>
        </w:rPr>
        <w:t xml:space="preserve">. </w:t>
      </w:r>
      <w:r>
        <w:rPr>
          <w:rFonts w:hint="eastAsia"/>
        </w:rPr>
        <w:t>我国新型城镇化的内涵及金融支持路径</w:t>
      </w:r>
      <w:r>
        <w:rPr>
          <w:rFonts w:hint="eastAsia"/>
        </w:rPr>
        <w:t>[J].</w:t>
      </w:r>
      <w:r>
        <w:rPr>
          <w:rFonts w:hint="eastAsia"/>
        </w:rPr>
        <w:t>城市发展研究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2017,</w:t>
      </w:r>
      <w:r>
        <w:t xml:space="preserve"> </w:t>
      </w:r>
      <w:r>
        <w:rPr>
          <w:rFonts w:hint="eastAsia"/>
        </w:rPr>
        <w:t>24 (07):</w:t>
      </w:r>
      <w:r>
        <w:t xml:space="preserve"> </w:t>
      </w:r>
      <w:proofErr w:type="gramStart"/>
      <w:r>
        <w:rPr>
          <w:rFonts w:hint="eastAsia"/>
        </w:rPr>
        <w:t>63-67</w:t>
      </w:r>
      <w:proofErr w:type="gramEnd"/>
      <w:r>
        <w:t>.) [на кит. яз.].</w:t>
      </w:r>
    </w:p>
    <w:p w14:paraId="357B1A17" w14:textId="77777777" w:rsidR="003E0374" w:rsidRDefault="00924F52" w:rsidP="0054181C">
      <w:pPr>
        <w:pStyle w:val="aa"/>
        <w:numPr>
          <w:ilvl w:val="0"/>
          <w:numId w:val="1"/>
        </w:numPr>
        <w:spacing w:after="0" w:line="240" w:lineRule="auto"/>
        <w:ind w:left="0" w:firstLine="397"/>
      </w:pPr>
      <w:r>
        <w:t xml:space="preserve">Чжао Хундань, Чэнь Лишуан. </w:t>
      </w:r>
      <w:r>
        <w:t xml:space="preserve">Исследование факторов, влияющих на финансовое развитие сельских районов, в рамках стратегии возрождения сельских районов — с учетом различий в экономическом развитии сельских районов [J]. Теория и практика ценности, 2018, (11): С. </w:t>
      </w:r>
      <w:proofErr w:type="gramStart"/>
      <w:r>
        <w:t>123-126</w:t>
      </w:r>
      <w:proofErr w:type="gramEnd"/>
      <w:r>
        <w:t>.</w:t>
      </w:r>
      <w:r>
        <w:rPr>
          <w:rFonts w:hint="eastAsia"/>
        </w:rPr>
        <w:t xml:space="preserve"> </w:t>
      </w:r>
      <w:r>
        <w:t>(</w:t>
      </w:r>
      <w:r>
        <w:rPr>
          <w:rFonts w:hint="eastAsia"/>
        </w:rPr>
        <w:t>赵洪丹</w:t>
      </w:r>
      <w:r>
        <w:rPr>
          <w:rFonts w:hint="eastAsia"/>
        </w:rPr>
        <w:t>,</w:t>
      </w:r>
      <w:r>
        <w:rPr>
          <w:rFonts w:hint="eastAsia"/>
        </w:rPr>
        <w:t>陈丽爽</w:t>
      </w:r>
      <w:r>
        <w:rPr>
          <w:rFonts w:hint="eastAsia"/>
        </w:rPr>
        <w:t xml:space="preserve">. </w:t>
      </w:r>
      <w:r>
        <w:rPr>
          <w:rFonts w:hint="eastAsia"/>
        </w:rPr>
        <w:t>乡村振兴战略下农村金融发展的影响因素研究—基于农村经济发展差异的视角</w:t>
      </w:r>
      <w:r>
        <w:rPr>
          <w:rFonts w:hint="eastAsia"/>
        </w:rPr>
        <w:t>[J].</w:t>
      </w:r>
      <w:r>
        <w:rPr>
          <w:rFonts w:hint="eastAsia"/>
        </w:rPr>
        <w:t>价值理论与实践</w:t>
      </w:r>
      <w:r>
        <w:rPr>
          <w:rFonts w:hint="eastAsia"/>
        </w:rPr>
        <w:t>,</w:t>
      </w:r>
      <w:r>
        <w:t xml:space="preserve"> </w:t>
      </w:r>
      <w:r>
        <w:rPr>
          <w:rFonts w:hint="eastAsia"/>
        </w:rPr>
        <w:t>2018(11):</w:t>
      </w:r>
      <w:r>
        <w:t xml:space="preserve"> </w:t>
      </w:r>
      <w:proofErr w:type="gramStart"/>
      <w:r>
        <w:rPr>
          <w:rFonts w:hint="eastAsia"/>
        </w:rPr>
        <w:t>123-126</w:t>
      </w:r>
      <w:proofErr w:type="gramEnd"/>
      <w:r>
        <w:t>.) [на кит. яз.].</w:t>
      </w:r>
    </w:p>
    <w:p w14:paraId="357B1A18" w14:textId="77777777" w:rsidR="003E0374" w:rsidRDefault="00924F52" w:rsidP="0054181C">
      <w:pPr>
        <w:pStyle w:val="aa"/>
        <w:numPr>
          <w:ilvl w:val="0"/>
          <w:numId w:val="1"/>
        </w:numPr>
        <w:spacing w:after="0" w:line="240" w:lineRule="auto"/>
        <w:ind w:left="0" w:firstLine="397"/>
      </w:pPr>
      <w:hyperlink r:id="rId7" w:history="1">
        <w:r>
          <w:rPr>
            <w:rStyle w:val="a9"/>
          </w:rPr>
          <w:t>http://tjj.qinghai.gov.cn/tjData/</w:t>
        </w:r>
      </w:hyperlink>
      <w:r>
        <w:t xml:space="preserve"> [Дата обращения: 06.03.2025].</w:t>
      </w:r>
    </w:p>
    <w:sectPr w:rsidR="003E0374">
      <w:pgSz w:w="11906" w:h="16838"/>
      <w:pgMar w:top="1134" w:right="1361" w:bottom="113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7B1A1B" w14:textId="77777777" w:rsidR="003E0374" w:rsidRDefault="00924F52">
      <w:pPr>
        <w:spacing w:line="240" w:lineRule="auto"/>
      </w:pPr>
      <w:r>
        <w:separator/>
      </w:r>
    </w:p>
  </w:endnote>
  <w:endnote w:type="continuationSeparator" w:id="0">
    <w:p w14:paraId="357B1A1C" w14:textId="77777777" w:rsidR="003E0374" w:rsidRDefault="00924F5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TKaiti">
    <w:altName w:val="华文楷体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7B1A19" w14:textId="77777777" w:rsidR="003E0374" w:rsidRDefault="00924F52">
      <w:pPr>
        <w:spacing w:after="0"/>
      </w:pPr>
      <w:r>
        <w:separator/>
      </w:r>
    </w:p>
  </w:footnote>
  <w:footnote w:type="continuationSeparator" w:id="0">
    <w:p w14:paraId="357B1A1A" w14:textId="77777777" w:rsidR="003E0374" w:rsidRDefault="00924F5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9860B8"/>
    <w:multiLevelType w:val="multilevel"/>
    <w:tmpl w:val="4A9860B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9559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18B4"/>
    <w:rsid w:val="00052BD8"/>
    <w:rsid w:val="00075F75"/>
    <w:rsid w:val="000C6151"/>
    <w:rsid w:val="000F329D"/>
    <w:rsid w:val="00155E5D"/>
    <w:rsid w:val="001A1BCC"/>
    <w:rsid w:val="002518B4"/>
    <w:rsid w:val="002A14F7"/>
    <w:rsid w:val="003342AF"/>
    <w:rsid w:val="003D5745"/>
    <w:rsid w:val="003D61EB"/>
    <w:rsid w:val="003E0374"/>
    <w:rsid w:val="003E6B63"/>
    <w:rsid w:val="00414FFE"/>
    <w:rsid w:val="00487DCD"/>
    <w:rsid w:val="0054181C"/>
    <w:rsid w:val="00564BA1"/>
    <w:rsid w:val="00590271"/>
    <w:rsid w:val="00594DD6"/>
    <w:rsid w:val="005B2372"/>
    <w:rsid w:val="005D7913"/>
    <w:rsid w:val="005E3B0D"/>
    <w:rsid w:val="006070C8"/>
    <w:rsid w:val="007F7488"/>
    <w:rsid w:val="008117C8"/>
    <w:rsid w:val="008D4223"/>
    <w:rsid w:val="00924F52"/>
    <w:rsid w:val="009A1402"/>
    <w:rsid w:val="009B1A1D"/>
    <w:rsid w:val="009D01A6"/>
    <w:rsid w:val="00A104F5"/>
    <w:rsid w:val="00AC5F4E"/>
    <w:rsid w:val="00B9124B"/>
    <w:rsid w:val="00C804DF"/>
    <w:rsid w:val="00CA42C3"/>
    <w:rsid w:val="00D23D6A"/>
    <w:rsid w:val="00D272F9"/>
    <w:rsid w:val="00DA0F07"/>
    <w:rsid w:val="00DA1B71"/>
    <w:rsid w:val="00E44888"/>
    <w:rsid w:val="00E74EB4"/>
    <w:rsid w:val="00EB6504"/>
    <w:rsid w:val="00F25426"/>
    <w:rsid w:val="47C10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B1A05"/>
  <w15:docId w15:val="{1A7A1809-8AC4-43EC-8312-B5898C109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200" w:line="276" w:lineRule="auto"/>
      <w:ind w:firstLine="397"/>
      <w:jc w:val="both"/>
    </w:pPr>
    <w:rPr>
      <w:rFonts w:eastAsiaTheme="minorEastAsia"/>
      <w:kern w:val="2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864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spacing w:after="160"/>
    </w:pPr>
    <w:rPr>
      <w:color w:val="595959" w:themeColor="text1" w:themeTint="A6"/>
      <w:spacing w:val="15"/>
      <w:sz w:val="22"/>
    </w:rPr>
  </w:style>
  <w:style w:type="paragraph" w:styleId="a5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eastAsia="Times New Roman"/>
      <w:kern w:val="0"/>
      <w:lang w:eastAsia="ru-RU"/>
    </w:rPr>
  </w:style>
  <w:style w:type="paragraph" w:styleId="a6">
    <w:name w:val="Title"/>
    <w:basedOn w:val="a"/>
    <w:next w:val="a"/>
    <w:link w:val="a7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uiPriority w:val="99"/>
    <w:unhideWhenUsed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 w:eastAsia="zh-CN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kern w:val="2"/>
      <w:sz w:val="22"/>
      <w:szCs w:val="22"/>
      <w:lang w:val="en-US" w:eastAsia="zh-CN"/>
    </w:rPr>
  </w:style>
  <w:style w:type="character" w:customStyle="1" w:styleId="11">
    <w:name w:val="Слабое выделение1"/>
    <w:basedOn w:val="a0"/>
    <w:uiPriority w:val="19"/>
    <w:qFormat/>
    <w:rPr>
      <w:i/>
      <w:iCs/>
      <w:color w:val="404040" w:themeColor="text1" w:themeTint="BF"/>
    </w:rPr>
  </w:style>
  <w:style w:type="character" w:customStyle="1" w:styleId="20">
    <w:name w:val="Заголовок 2 Знак"/>
    <w:basedOn w:val="a0"/>
    <w:link w:val="2"/>
    <w:uiPriority w:val="9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val="en-US" w:eastAsia="zh-CN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color w:val="1F3864" w:themeColor="accent1" w:themeShade="80"/>
      <w:kern w:val="2"/>
      <w:sz w:val="24"/>
      <w:szCs w:val="24"/>
      <w:lang w:val="en-US" w:eastAsia="zh-CN"/>
    </w:rPr>
  </w:style>
  <w:style w:type="character" w:customStyle="1" w:styleId="40">
    <w:name w:val="Заголовок 4 Знак"/>
    <w:basedOn w:val="a0"/>
    <w:link w:val="4"/>
    <w:uiPriority w:val="9"/>
    <w:rPr>
      <w:rFonts w:asciiTheme="majorHAnsi" w:eastAsiaTheme="majorEastAsia" w:hAnsiTheme="majorHAnsi" w:cstheme="majorBidi"/>
      <w:i/>
      <w:iCs/>
      <w:color w:val="2F5496" w:themeColor="accent1" w:themeShade="BF"/>
      <w:kern w:val="2"/>
      <w:sz w:val="21"/>
      <w:szCs w:val="22"/>
      <w:lang w:val="en-US" w:eastAsia="zh-CN"/>
    </w:rPr>
  </w:style>
  <w:style w:type="character" w:customStyle="1" w:styleId="50">
    <w:name w:val="Заголовок 5 Знак"/>
    <w:basedOn w:val="a0"/>
    <w:link w:val="5"/>
    <w:uiPriority w:val="9"/>
    <w:rPr>
      <w:rFonts w:asciiTheme="majorHAnsi" w:eastAsiaTheme="majorEastAsia" w:hAnsiTheme="majorHAnsi" w:cstheme="majorBidi"/>
      <w:color w:val="2F5496" w:themeColor="accent1" w:themeShade="BF"/>
      <w:kern w:val="2"/>
      <w:sz w:val="21"/>
      <w:szCs w:val="22"/>
      <w:lang w:val="en-US" w:eastAsia="zh-CN"/>
    </w:rPr>
  </w:style>
  <w:style w:type="character" w:customStyle="1" w:styleId="60">
    <w:name w:val="Заголовок 6 Знак"/>
    <w:basedOn w:val="a0"/>
    <w:link w:val="6"/>
    <w:uiPriority w:val="9"/>
    <w:rPr>
      <w:rFonts w:asciiTheme="majorHAnsi" w:eastAsiaTheme="majorEastAsia" w:hAnsiTheme="majorHAnsi" w:cstheme="majorBidi"/>
      <w:color w:val="1F3864" w:themeColor="accent1" w:themeShade="80"/>
      <w:kern w:val="2"/>
      <w:sz w:val="21"/>
      <w:szCs w:val="22"/>
      <w:lang w:val="en-US" w:eastAsia="zh-CN"/>
    </w:rPr>
  </w:style>
  <w:style w:type="character" w:customStyle="1" w:styleId="12">
    <w:name w:val="Название книги1"/>
    <w:basedOn w:val="a0"/>
    <w:uiPriority w:val="33"/>
    <w:qFormat/>
    <w:rPr>
      <w:b/>
      <w:bCs/>
      <w:i/>
      <w:iCs/>
      <w:spacing w:val="5"/>
    </w:rPr>
  </w:style>
  <w:style w:type="character" w:customStyle="1" w:styleId="13">
    <w:name w:val="Сильная ссылка1"/>
    <w:basedOn w:val="a0"/>
    <w:uiPriority w:val="32"/>
    <w:qFormat/>
    <w:rPr>
      <w:b/>
      <w:bCs/>
      <w:smallCaps/>
      <w:color w:val="4472C4" w:themeColor="accent1"/>
      <w:spacing w:val="5"/>
    </w:rPr>
  </w:style>
  <w:style w:type="character" w:customStyle="1" w:styleId="14">
    <w:name w:val="Слабая ссылка1"/>
    <w:basedOn w:val="a0"/>
    <w:uiPriority w:val="31"/>
    <w:qFormat/>
    <w:rPr>
      <w:smallCap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Theme="majorHAnsi" w:eastAsiaTheme="majorEastAsia" w:hAnsiTheme="majorHAnsi" w:cstheme="majorBidi"/>
      <w:i/>
      <w:iCs/>
      <w:color w:val="1F3864" w:themeColor="accent1" w:themeShade="80"/>
      <w:kern w:val="2"/>
      <w:sz w:val="21"/>
      <w:szCs w:val="22"/>
      <w:lang w:val="en-US" w:eastAsia="zh-CN"/>
    </w:rPr>
  </w:style>
  <w:style w:type="character" w:customStyle="1" w:styleId="a7">
    <w:name w:val="Заголовок Знак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character" w:customStyle="1" w:styleId="80">
    <w:name w:val="Заголовок 8 Знак"/>
    <w:basedOn w:val="a0"/>
    <w:link w:val="8"/>
    <w:uiPriority w:val="9"/>
    <w:rPr>
      <w:rFonts w:asciiTheme="majorHAnsi" w:eastAsiaTheme="majorEastAsia" w:hAnsiTheme="majorHAnsi" w:cstheme="majorBidi"/>
      <w:color w:val="262626" w:themeColor="text1" w:themeTint="D9"/>
      <w:kern w:val="2"/>
      <w:sz w:val="21"/>
      <w:szCs w:val="21"/>
      <w:lang w:val="en-US" w:eastAsia="zh-CN"/>
    </w:rPr>
  </w:style>
  <w:style w:type="paragraph" w:customStyle="1" w:styleId="15">
    <w:name w:val="Абзац списка1"/>
    <w:basedOn w:val="a"/>
    <w:uiPriority w:val="34"/>
    <w:qFormat/>
    <w:pPr>
      <w:ind w:left="720"/>
      <w:contextualSpacing/>
    </w:pPr>
  </w:style>
  <w:style w:type="paragraph" w:customStyle="1" w:styleId="16">
    <w:name w:val="Без интервала1"/>
    <w:uiPriority w:val="1"/>
    <w:qFormat/>
    <w:pPr>
      <w:spacing w:after="200" w:line="276" w:lineRule="auto"/>
    </w:pPr>
    <w:rPr>
      <w:rFonts w:ascii="Calibri" w:hAnsi="Calibri"/>
      <w:sz w:val="22"/>
      <w:szCs w:val="22"/>
      <w:lang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jj.qinghai.gov.cn/tjDat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876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扬</dc:creator>
  <cp:lastModifiedBy>Алексей Смирнов</cp:lastModifiedBy>
  <cp:revision>3</cp:revision>
  <dcterms:created xsi:type="dcterms:W3CDTF">2025-05-17T11:59:00Z</dcterms:created>
  <dcterms:modified xsi:type="dcterms:W3CDTF">2025-05-17T11:59:00Z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72E1936F76FC44078D66A630D014E29A_13</vt:lpwstr>
  </property>
</Properties>
</file>