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C71369D" w:rsidR="00130241" w:rsidRDefault="00ED3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Кинетическое моделирование пиролиза этановой фракции с ингибированием коксообразования</w:t>
      </w:r>
    </w:p>
    <w:p w14:paraId="00000002" w14:textId="10327CBF" w:rsidR="00130241" w:rsidRDefault="00ED3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Столярова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14:paraId="00000003" w14:textId="7028C7F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D328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D3286">
        <w:rPr>
          <w:i/>
          <w:color w:val="000000"/>
        </w:rPr>
        <w:t>магистратуры</w:t>
      </w:r>
    </w:p>
    <w:p w14:paraId="00000005" w14:textId="105E37B9" w:rsidR="00130241" w:rsidRPr="000E334E" w:rsidRDefault="00ED3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0AD2">
        <w:rPr>
          <w:i/>
          <w:iCs/>
          <w:color w:val="000000"/>
        </w:rPr>
        <w:t>РГУ нефти и газа (НИУ) имени И.М.</w:t>
      </w:r>
      <w:r>
        <w:rPr>
          <w:i/>
          <w:iCs/>
          <w:color w:val="000000"/>
        </w:rPr>
        <w:t xml:space="preserve"> </w:t>
      </w:r>
      <w:r w:rsidRPr="00E30AD2">
        <w:rPr>
          <w:i/>
          <w:iCs/>
          <w:color w:val="000000"/>
        </w:rPr>
        <w:t>Губкина,</w:t>
      </w:r>
      <w:r w:rsidR="00EB1F49">
        <w:rPr>
          <w:i/>
          <w:color w:val="000000"/>
        </w:rPr>
        <w:t xml:space="preserve"> Москва, Россия</w:t>
      </w:r>
    </w:p>
    <w:p w14:paraId="00000008" w14:textId="14CB80A7" w:rsidR="00130241" w:rsidRPr="002747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747B3">
        <w:rPr>
          <w:i/>
          <w:color w:val="000000"/>
          <w:lang w:val="en-US"/>
        </w:rPr>
        <w:t>E</w:t>
      </w:r>
      <w:r w:rsidR="003B76D6" w:rsidRPr="002747B3">
        <w:rPr>
          <w:i/>
          <w:color w:val="000000"/>
          <w:lang w:val="en-US"/>
        </w:rPr>
        <w:t>-</w:t>
      </w:r>
      <w:r w:rsidRPr="002747B3">
        <w:rPr>
          <w:i/>
          <w:color w:val="000000"/>
          <w:lang w:val="en-US"/>
        </w:rPr>
        <w:t xml:space="preserve">mail: </w:t>
      </w:r>
      <w:hyperlink r:id="rId6" w:history="1">
        <w:r w:rsidR="00ED3286" w:rsidRPr="00ED3286">
          <w:rPr>
            <w:rStyle w:val="a9"/>
            <w:i/>
            <w:color w:val="auto"/>
            <w:lang w:val="en-US"/>
          </w:rPr>
          <w:t>stolyarova</w:t>
        </w:r>
        <w:r w:rsidR="00ED3286" w:rsidRPr="002747B3">
          <w:rPr>
            <w:rStyle w:val="a9"/>
            <w:i/>
            <w:color w:val="auto"/>
            <w:lang w:val="en-US"/>
          </w:rPr>
          <w:t>.</w:t>
        </w:r>
        <w:r w:rsidR="00ED3286" w:rsidRPr="00ED3286">
          <w:rPr>
            <w:rStyle w:val="a9"/>
            <w:i/>
            <w:color w:val="auto"/>
            <w:lang w:val="en-US"/>
          </w:rPr>
          <w:t>p</w:t>
        </w:r>
        <w:r w:rsidR="00ED3286" w:rsidRPr="002747B3">
          <w:rPr>
            <w:rStyle w:val="a9"/>
            <w:i/>
            <w:color w:val="auto"/>
            <w:lang w:val="en-US"/>
          </w:rPr>
          <w:t>@</w:t>
        </w:r>
        <w:r w:rsidR="00ED3286" w:rsidRPr="00ED3286">
          <w:rPr>
            <w:rStyle w:val="a9"/>
            <w:i/>
            <w:color w:val="auto"/>
            <w:lang w:val="en-US"/>
          </w:rPr>
          <w:t>gubkin</w:t>
        </w:r>
        <w:r w:rsidR="00ED3286" w:rsidRPr="002747B3">
          <w:rPr>
            <w:rStyle w:val="a9"/>
            <w:i/>
            <w:color w:val="auto"/>
            <w:lang w:val="en-US"/>
          </w:rPr>
          <w:t>.ru</w:t>
        </w:r>
      </w:hyperlink>
    </w:p>
    <w:p w14:paraId="2486A7F4" w14:textId="77777777" w:rsidR="004653D7" w:rsidRDefault="00B1772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Термический пиролиз углеводородного сырья занимает центральное место </w:t>
      </w:r>
      <w:r w:rsidR="001F3545">
        <w:rPr>
          <w:color w:val="000000"/>
        </w:rPr>
        <w:t>на нефтега</w:t>
      </w:r>
      <w:r w:rsidR="007F05AC">
        <w:rPr>
          <w:color w:val="000000"/>
        </w:rPr>
        <w:t>з</w:t>
      </w:r>
      <w:r w:rsidR="001F3545">
        <w:rPr>
          <w:color w:val="000000"/>
        </w:rPr>
        <w:t>охимическ</w:t>
      </w:r>
      <w:r w:rsidR="007F05AC">
        <w:rPr>
          <w:color w:val="000000"/>
        </w:rPr>
        <w:t>о</w:t>
      </w:r>
      <w:r w:rsidR="001F3545">
        <w:rPr>
          <w:color w:val="000000"/>
        </w:rPr>
        <w:t>м производстве. Подбор оптимальных параметров</w:t>
      </w:r>
      <w:r w:rsidR="007F05AC">
        <w:rPr>
          <w:color w:val="000000"/>
        </w:rPr>
        <w:t xml:space="preserve"> </w:t>
      </w:r>
      <w:r w:rsidR="001F3545">
        <w:rPr>
          <w:color w:val="000000"/>
        </w:rPr>
        <w:t>проведения п</w:t>
      </w:r>
      <w:r w:rsidR="007F05AC">
        <w:rPr>
          <w:color w:val="000000"/>
        </w:rPr>
        <w:t>иролиза</w:t>
      </w:r>
      <w:r w:rsidR="007F05AC">
        <w:rPr>
          <w:color w:val="000000"/>
        </w:rPr>
        <w:t xml:space="preserve"> </w:t>
      </w:r>
      <w:r w:rsidR="001F3545">
        <w:rPr>
          <w:color w:val="000000"/>
        </w:rPr>
        <w:t>позволяет варьировать состав продуктов, увеличивая выход этилена, пропилена или жидких продуктов</w:t>
      </w:r>
      <w:r w:rsidR="007F05AC">
        <w:rPr>
          <w:color w:val="000000"/>
        </w:rPr>
        <w:t>, а также снижать коксообразование, являющееся одной из ключевых проблем процесса</w:t>
      </w:r>
      <w:r w:rsidR="001F3545">
        <w:rPr>
          <w:color w:val="000000"/>
        </w:rPr>
        <w:t xml:space="preserve">. </w:t>
      </w:r>
    </w:p>
    <w:p w14:paraId="0037D3DA" w14:textId="55374C64" w:rsidR="004653D7" w:rsidRDefault="004653D7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Существующие кинетические модели</w:t>
      </w:r>
      <w:r w:rsidR="00F378AF">
        <w:rPr>
          <w:color w:val="000000"/>
        </w:rPr>
        <w:t>, основанные на упрощенных молекулярных схемах, позволяют довольно быстро оценить ключевые показатели, однако зачастую в них пренебрегают процессами коксообразования</w:t>
      </w:r>
      <w:r w:rsidR="00C13904">
        <w:rPr>
          <w:color w:val="000000"/>
        </w:rPr>
        <w:t xml:space="preserve"> </w:t>
      </w:r>
      <w:r w:rsidR="00C13904" w:rsidRPr="00C13904">
        <w:rPr>
          <w:color w:val="000000"/>
        </w:rPr>
        <w:t>[1]</w:t>
      </w:r>
      <w:r w:rsidR="00F378AF">
        <w:rPr>
          <w:color w:val="000000"/>
        </w:rPr>
        <w:t xml:space="preserve">. В связи с чем в данной работе поставлена цель, заключающаяся в разработке кинетической модели пиролиза с учетом процесса коксообразования, а также его ингибирования с помощью серосодержащих соединений. </w:t>
      </w:r>
      <w:r w:rsidR="00F378AF" w:rsidRPr="00C13904">
        <w:rPr>
          <w:color w:val="000000"/>
        </w:rPr>
        <w:t>В качестве сырья выбрана этановая фракция</w:t>
      </w:r>
      <w:r w:rsidR="00844D9D" w:rsidRPr="00C13904">
        <w:rPr>
          <w:color w:val="000000"/>
        </w:rPr>
        <w:t xml:space="preserve">, так как она </w:t>
      </w:r>
      <w:r w:rsidR="00844D9D" w:rsidRPr="00C13904">
        <w:t>является весьма перспективным сырьем для термического пиролиза благодаря своей способности обеспечивать высокий выход целевых продуктов, таких как этилен</w:t>
      </w:r>
      <w:r w:rsidR="00844D9D" w:rsidRPr="00C13904">
        <w:t>.</w:t>
      </w:r>
    </w:p>
    <w:p w14:paraId="022F9698" w14:textId="3B2473CC" w:rsidR="002747B3" w:rsidRPr="007E5719" w:rsidRDefault="00844D9D" w:rsidP="007E5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Моделирование проводилось в среде </w:t>
      </w:r>
      <w:r>
        <w:rPr>
          <w:color w:val="000000"/>
          <w:lang w:val="en-US"/>
        </w:rPr>
        <w:t>MATLAB</w:t>
      </w:r>
      <w:r>
        <w:rPr>
          <w:color w:val="000000"/>
        </w:rPr>
        <w:t xml:space="preserve">. </w:t>
      </w:r>
      <w:r w:rsidR="007E5719">
        <w:t>Предложенная</w:t>
      </w:r>
      <w:r w:rsidR="007E5719">
        <w:t xml:space="preserve"> молекулярная схема реакций состоит из </w:t>
      </w:r>
      <w:r w:rsidR="007E5719" w:rsidRPr="00C13904">
        <w:t>13</w:t>
      </w:r>
      <w:r w:rsidR="007E5719" w:rsidRPr="00304CC4">
        <w:t xml:space="preserve"> </w:t>
      </w:r>
      <w:r w:rsidR="007E5719">
        <w:t xml:space="preserve">реакций. </w:t>
      </w:r>
      <w:r>
        <w:rPr>
          <w:color w:val="000000"/>
        </w:rPr>
        <w:t>В основе вычислений лежат решения трех уравнений для каждого компонента</w:t>
      </w:r>
      <w:r w:rsidR="00304CC4">
        <w:rPr>
          <w:color w:val="000000"/>
        </w:rPr>
        <w:t xml:space="preserve">, а именно уравнений </w:t>
      </w:r>
      <w:r w:rsidR="00304CC4">
        <w:t>массопереноса, теплопереноса и гидравлических потерь</w:t>
      </w:r>
      <w:r w:rsidR="007E5719" w:rsidRPr="007E5719">
        <w:t xml:space="preserve"> (1)-(3)</w:t>
      </w:r>
      <w:r w:rsidR="007E5719">
        <w:t>:</w:t>
      </w:r>
    </w:p>
    <w:p w14:paraId="108299DE" w14:textId="31A2B2EF" w:rsidR="002747B3" w:rsidRPr="00E22189" w:rsidRDefault="002747B3" w:rsidP="00274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dF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Cs w:val="28"/>
              </w:rPr>
              <m:t>dx</m:t>
            </m:r>
          </m:den>
        </m:f>
        <m:r>
          <w:rPr>
            <w:rFonts w:ascii="Cambria Math" w:hAnsi="Cambria Math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</w:rPr>
                  <m:t>j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im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m</m:t>
                    </m:r>
                  </m:sub>
                </m:sSub>
              </m:e>
            </m:nary>
          </m:e>
        </m:d>
        <m:r>
          <m:rPr>
            <m:sty m:val="p"/>
          </m:rPr>
          <w:rPr>
            <w:rFonts w:ascii="Cambria Math" w:eastAsia="Calibri" w:hAnsi="Cambria Math"/>
            <w:szCs w:val="28"/>
          </w:rPr>
          <m:t>Ω</m:t>
        </m:r>
        <m:r>
          <m:rPr>
            <m:sty m:val="p"/>
          </m:rPr>
          <w:rPr>
            <w:rFonts w:ascii="Cambria Math" w:eastAsia="Calibri" w:hAnsi="Cambria Math"/>
            <w:szCs w:val="28"/>
          </w:rPr>
          <m:t xml:space="preserve"> </m:t>
        </m:r>
      </m:oMath>
      <w:r w:rsidRPr="00E22189">
        <w:tab/>
      </w:r>
      <w:r>
        <w:t>(</w:t>
      </w:r>
      <w:r w:rsidR="007E5719" w:rsidRPr="007E5719">
        <w:t>1</w:t>
      </w:r>
      <w:r>
        <w:t>)</w:t>
      </w:r>
    </w:p>
    <w:p w14:paraId="224B27C6" w14:textId="16D0AB1C" w:rsidR="002747B3" w:rsidRPr="00E22189" w:rsidRDefault="002747B3" w:rsidP="00274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nary>
          <m:naryPr>
            <m:chr m:val="∑"/>
            <m:limLoc m:val="undOvr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w:rPr>
                <w:rFonts w:ascii="Cambria Math" w:eastAsia="Calibri" w:hAnsi="Cambria Math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Calibri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.c</m:t>
                </m:r>
              </m:e>
              <m:sub>
                <m:r>
                  <w:rPr>
                    <w:rFonts w:ascii="Cambria Math" w:eastAsia="Calibri" w:hAnsi="Cambria Math"/>
                    <w:szCs w:val="28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,</m:t>
                </m:r>
                <m:r>
                  <w:rPr>
                    <w:rFonts w:ascii="Cambria Math" w:eastAsia="Calibri" w:hAnsi="Cambria Math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.</m:t>
        </m:r>
        <m:f>
          <m:fPr>
            <m:ctrlPr>
              <w:rPr>
                <w:rFonts w:ascii="Cambria Math" w:eastAsia="Calibri" w:hAnsi="Cambria Math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Cs w:val="28"/>
              </w:rPr>
              <m:t>dT</m:t>
            </m:r>
          </m:num>
          <m:den>
            <m:r>
              <w:rPr>
                <w:rFonts w:ascii="Cambria Math" w:eastAsia="Calibri" w:hAnsi="Cambria Math"/>
                <w:szCs w:val="28"/>
              </w:rPr>
              <m:t>dx</m:t>
            </m:r>
          </m:den>
        </m:f>
        <m:r>
          <m:rPr>
            <m:sty m:val="p"/>
          </m:rPr>
          <w:rPr>
            <w:rFonts w:ascii="Cambria Math" w:eastAsia="Calibri" w:hAnsi="Cambria Math"/>
            <w:szCs w:val="28"/>
          </w:rPr>
          <m:t>=ω</m:t>
        </m:r>
        <m:r>
          <w:rPr>
            <w:rFonts w:ascii="Cambria Math" w:eastAsia="Calibri" w:hAnsi="Cambria Math"/>
            <w:szCs w:val="28"/>
          </w:rPr>
          <m:t>q</m:t>
        </m:r>
        <m:r>
          <m:rPr>
            <m:sty m:val="p"/>
          </m:rPr>
          <w:rPr>
            <w:rFonts w:ascii="Cambria Math" w:eastAsia="Calibri" w:hAnsi="Cambria Math"/>
            <w:szCs w:val="28"/>
          </w:rPr>
          <m:t>+Ω</m:t>
        </m:r>
        <m:d>
          <m:dPr>
            <m:ctrlPr>
              <w:rPr>
                <w:rFonts w:ascii="Cambria Math" w:eastAsia="Calibri" w:hAnsi="Cambria Math"/>
                <w:szCs w:val="28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="Calibri" w:hAnsi="Cambria Math"/>
                    <w:szCs w:val="28"/>
                  </w:rPr>
                </m:ctrlPr>
              </m:naryPr>
              <m:sub>
                <m:r>
                  <w:rPr>
                    <w:rFonts w:ascii="Cambria Math" w:eastAsia="Calibri" w:hAnsi="Cambria Math"/>
                    <w:szCs w:val="28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szCs w:val="28"/>
                        <w:lang w:val="en-US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Cs w:val="28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f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Calibri" w:hAnsi="Cambria Math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Cs w:val="28"/>
                          </w:rPr>
                          <m:t>0</m:t>
                        </m:r>
                      </m:sup>
                    </m:sSubSup>
                  </m:e>
                </m:d>
              </m:e>
            </m:nary>
          </m:e>
        </m:d>
      </m:oMath>
      <w:r w:rsidRPr="00E22189">
        <w:tab/>
      </w:r>
      <w:r>
        <w:t>(</w:t>
      </w:r>
      <w:r w:rsidR="007E5719" w:rsidRPr="007E5719">
        <w:t>2</w:t>
      </w:r>
      <w:r>
        <w:t>)</w:t>
      </w:r>
    </w:p>
    <w:p w14:paraId="0972B47B" w14:textId="295AB3E6" w:rsidR="002747B3" w:rsidRPr="007E5719" w:rsidRDefault="002747B3" w:rsidP="007E5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r>
          <m:rPr>
            <m:sty m:val="p"/>
          </m:rPr>
          <w:rPr>
            <w:rFonts w:ascii="Cambria Math" w:eastAsia="Calibri" w:hAnsi="Cambria Math"/>
            <w:szCs w:val="28"/>
          </w:rPr>
          <m:t>-</m:t>
        </m:r>
        <m:f>
          <m:fPr>
            <m:ctrlPr>
              <w:rPr>
                <w:rFonts w:ascii="Cambria Math" w:eastAsia="Calibri" w:hAnsi="Cambria Math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Cs w:val="28"/>
              </w:rPr>
              <m:t>d</m:t>
            </m:r>
            <m:sSub>
              <m:sSubPr>
                <m:ctrlPr>
                  <w:rPr>
                    <w:rFonts w:ascii="Cambria Math" w:eastAsia="Calibri" w:hAnsi="Cambria Math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Cs w:val="28"/>
                  </w:rPr>
                  <m:t>t</m:t>
                </m:r>
              </m:sub>
            </m:sSub>
          </m:num>
          <m:den>
            <m:r>
              <w:rPr>
                <w:rFonts w:ascii="Cambria Math" w:eastAsia="Calibri" w:hAnsi="Cambria Math"/>
                <w:szCs w:val="28"/>
              </w:rPr>
              <m:t>dx</m:t>
            </m:r>
          </m:den>
        </m:f>
        <m:r>
          <m:rPr>
            <m:sty m:val="p"/>
          </m:rPr>
          <w:rPr>
            <w:rFonts w:ascii="Cambria Math" w:eastAsia="Calibri" w:hAnsi="Cambria Math"/>
            <w:szCs w:val="28"/>
          </w:rPr>
          <m:t>=</m:t>
        </m:r>
        <m:d>
          <m:dPr>
            <m:ctrlPr>
              <w:rPr>
                <w:rFonts w:ascii="Cambria Math" w:eastAsia="Calibri" w:hAnsi="Cambria Math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2</m:t>
                </m:r>
                <m:r>
                  <w:rPr>
                    <w:rFonts w:ascii="Cambria Math" w:eastAsia="Calibri" w:hAnsi="Cambria Math"/>
                    <w:szCs w:val="28"/>
                  </w:rPr>
                  <m:t>f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/>
                        <w:szCs w:val="28"/>
                      </w:rPr>
                      <m:t>t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/>
                    <w:szCs w:val="28"/>
                  </w:rPr>
                  <m:t>ζ</m:t>
                </m:r>
              </m:num>
              <m:den>
                <m:r>
                  <w:rPr>
                    <w:rFonts w:ascii="Cambria Math" w:eastAsia="Calibri" w:hAnsi="Cambria Math"/>
                    <w:szCs w:val="28"/>
                  </w:rPr>
                  <m:t>π</m:t>
                </m:r>
                <m:sSub>
                  <m:sSub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szCs w:val="28"/>
                      </w:rPr>
                      <m:t>b</m:t>
                    </m:r>
                  </m:sub>
                </m:sSub>
              </m:den>
            </m:f>
          </m:e>
        </m:d>
        <m:r>
          <w:rPr>
            <w:rFonts w:ascii="Cambria Math" w:eastAsia="Calibri" w:hAnsi="Cambria Math"/>
            <w:szCs w:val="28"/>
          </w:rPr>
          <m:t>ρ</m:t>
        </m:r>
        <m:sSup>
          <m:sSupPr>
            <m:ctrlPr>
              <w:rPr>
                <w:rFonts w:ascii="Cambria Math" w:eastAsia="Calibri" w:hAnsi="Cambria Math"/>
                <w:szCs w:val="28"/>
              </w:rPr>
            </m:ctrlPr>
          </m:sSupPr>
          <m:e>
            <m:r>
              <w:rPr>
                <w:rFonts w:ascii="Cambria Math" w:eastAsia="Calibri" w:hAnsi="Cambria Math"/>
                <w:szCs w:val="28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/>
            <w:szCs w:val="28"/>
          </w:rPr>
          <m:t>+</m:t>
        </m:r>
        <m:r>
          <w:rPr>
            <w:rFonts w:ascii="Cambria Math" w:eastAsia="Calibri" w:hAnsi="Cambria Math"/>
            <w:szCs w:val="28"/>
          </w:rPr>
          <m:t>ρu</m:t>
        </m:r>
        <m:f>
          <m:fPr>
            <m:ctrlPr>
              <w:rPr>
                <w:rFonts w:ascii="Cambria Math" w:eastAsia="Calibri" w:hAnsi="Cambria Math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Cs w:val="28"/>
              </w:rPr>
              <m:t>du</m:t>
            </m:r>
          </m:num>
          <m:den>
            <m:r>
              <w:rPr>
                <w:rFonts w:ascii="Cambria Math" w:eastAsia="Calibri" w:hAnsi="Cambria Math"/>
                <w:szCs w:val="28"/>
              </w:rPr>
              <m:t>dx</m:t>
            </m:r>
          </m:den>
        </m:f>
        <m:r>
          <m:rPr>
            <m:sty m:val="p"/>
          </m:rPr>
          <w:rPr>
            <w:rFonts w:ascii="Cambria Math" w:eastAsia="Calibri" w:hAnsi="Cambria Math"/>
            <w:szCs w:val="28"/>
          </w:rPr>
          <m:t xml:space="preserve"> </m:t>
        </m:r>
      </m:oMath>
      <w:r w:rsidR="007E5719" w:rsidRPr="00E22189">
        <w:tab/>
      </w:r>
      <w:r w:rsidR="007E5719">
        <w:tab/>
      </w:r>
      <w:r>
        <w:t>(</w:t>
      </w:r>
      <w:r w:rsidR="007E5719" w:rsidRPr="007E5719">
        <w:t>3</w:t>
      </w:r>
      <w:r>
        <w:t>)</w:t>
      </w:r>
    </w:p>
    <w:p w14:paraId="5D46082E" w14:textId="0BA41AD0" w:rsidR="007E5719" w:rsidRPr="007E5719" w:rsidRDefault="007E5719" w:rsidP="007E5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E5719">
        <w:rPr>
          <w:color w:val="000000"/>
        </w:rPr>
        <w:t>где</w:t>
      </w:r>
      <w:r w:rsidRPr="007E5719">
        <w:rPr>
          <w:color w:val="000000"/>
        </w:rPr>
        <w:tab/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7E5719">
        <w:rPr>
          <w:color w:val="000000"/>
        </w:rPr>
        <w:t xml:space="preserve"> – молярный расход i-ого компонента,</w:t>
      </w:r>
      <w:r w:rsidRPr="007E5719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x</m:t>
        </m:r>
      </m:oMath>
      <w:r w:rsidRPr="007E5719">
        <w:rPr>
          <w:color w:val="000000"/>
        </w:rPr>
        <w:t xml:space="preserve"> – координата по длине,</w:t>
      </w:r>
      <w:r w:rsidRPr="007E5719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m</m:t>
            </m:r>
          </m:sub>
        </m:sSub>
      </m:oMath>
      <w:r w:rsidRPr="007E5719">
        <w:rPr>
          <w:color w:val="000000"/>
        </w:rPr>
        <w:t xml:space="preserve"> – скорость реакции m,</w:t>
      </w:r>
      <w:r w:rsidRPr="007E5719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ν</m:t>
            </m:r>
          </m:e>
          <m:sub>
            <m:r>
              <w:rPr>
                <w:rFonts w:ascii="Cambria Math" w:hAnsi="Cambria Math"/>
                <w:color w:val="000000"/>
              </w:rPr>
              <m:t>im</m:t>
            </m:r>
          </m:sub>
        </m:sSub>
      </m:oMath>
      <w:r w:rsidRPr="007E5719">
        <w:rPr>
          <w:color w:val="000000"/>
        </w:rPr>
        <w:t xml:space="preserve"> – стехиометрический коэффициент i-ого компонента в реакции m, </w:t>
      </w:r>
      <m:oMath>
        <m:r>
          <m:rPr>
            <m:sty m:val="p"/>
          </m:rPr>
          <w:rPr>
            <w:rFonts w:ascii="Cambria Math" w:hAnsi="Cambria Math"/>
            <w:color w:val="000000"/>
          </w:rPr>
          <m:t>Ω</m:t>
        </m:r>
      </m:oMath>
      <w:r w:rsidRPr="007E5719">
        <w:rPr>
          <w:color w:val="000000"/>
        </w:rPr>
        <w:t xml:space="preserve"> – площадь поперечного сечения, </w:t>
      </w:r>
      <m:oMath>
        <m:r>
          <w:rPr>
            <w:rFonts w:ascii="Cambria Math" w:hAnsi="Cambria Math"/>
            <w:color w:val="000000"/>
          </w:rPr>
          <m:t>T</m:t>
        </m:r>
      </m:oMath>
      <w:r w:rsidRPr="007E5719">
        <w:rPr>
          <w:color w:val="000000"/>
        </w:rPr>
        <w:t xml:space="preserve"> – температура,</w:t>
      </w:r>
      <w:r w:rsidRPr="007E5719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</m:t>
            </m:r>
          </m:e>
          <m:sub>
            <m:r>
              <w:rPr>
                <w:rFonts w:ascii="Cambria Math" w:hAnsi="Cambria Math"/>
                <w:color w:val="000000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,</m:t>
            </m:r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7E5719">
        <w:rPr>
          <w:color w:val="000000"/>
        </w:rPr>
        <w:t xml:space="preserve"> – удельная теплоемкость i-ого компонента при температуре </w:t>
      </w:r>
      <m:oMath>
        <m:r>
          <w:rPr>
            <w:rFonts w:ascii="Cambria Math" w:hAnsi="Cambria Math"/>
            <w:color w:val="000000"/>
          </w:rPr>
          <m:t>T</m:t>
        </m:r>
      </m:oMath>
      <w:r w:rsidRPr="007E5719">
        <w:rPr>
          <w:color w:val="000000"/>
        </w:rPr>
        <w:t xml:space="preserve">, </w:t>
      </w:r>
      <m:oMath>
        <m:r>
          <m:rPr>
            <m:sty m:val="p"/>
          </m:rPr>
          <w:rPr>
            <w:rFonts w:ascii="Cambria Math" w:hAnsi="Cambria Math"/>
            <w:color w:val="000000"/>
          </w:rPr>
          <m:t>ω</m:t>
        </m:r>
      </m:oMath>
      <w:r w:rsidRPr="007E5719">
        <w:rPr>
          <w:color w:val="000000"/>
        </w:rPr>
        <w:t xml:space="preserve"> – диаметр реактора, </w:t>
      </w:r>
      <m:oMath>
        <m:r>
          <w:rPr>
            <w:rFonts w:ascii="Cambria Math" w:hAnsi="Cambria Math"/>
            <w:color w:val="000000"/>
          </w:rPr>
          <m:t>q</m:t>
        </m:r>
      </m:oMath>
      <w:r w:rsidRPr="007E5719">
        <w:rPr>
          <w:color w:val="000000"/>
        </w:rPr>
        <w:t xml:space="preserve"> – тепловой поток к реакционной смеси,</w:t>
      </w:r>
      <w:r w:rsidRPr="007E5719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7E5719">
        <w:rPr>
          <w:color w:val="000000"/>
        </w:rPr>
        <w:t xml:space="preserve"> – скорость образования i-ого компонента,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Δ</m:t>
            </m:r>
          </m:e>
          <m:sub>
            <m:r>
              <w:rPr>
                <w:rFonts w:ascii="Cambria Math" w:hAnsi="Cambria Math"/>
                <w:color w:val="000000"/>
              </w:rPr>
              <m:t>f</m:t>
            </m:r>
          </m:sub>
        </m:sSub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0</m:t>
            </m:r>
          </m:sup>
        </m:sSubSup>
      </m:oMath>
      <w:r w:rsidRPr="007E5719">
        <w:rPr>
          <w:color w:val="000000"/>
        </w:rPr>
        <w:t xml:space="preserve"> – стандартная энтальпия образования i-ого компонента,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p</m:t>
            </m:r>
          </m:e>
          <m:sub>
            <m:r>
              <w:rPr>
                <w:rFonts w:ascii="Cambria Math" w:hAnsi="Cambria Math"/>
                <w:color w:val="000000"/>
              </w:rPr>
              <m:t>t</m:t>
            </m:r>
          </m:sub>
        </m:sSub>
      </m:oMath>
      <w:r w:rsidRPr="007E5719">
        <w:rPr>
          <w:color w:val="000000"/>
        </w:rPr>
        <w:t xml:space="preserve"> – общее давление, </w:t>
      </w:r>
      <m:oMath>
        <m:r>
          <w:rPr>
            <w:rFonts w:ascii="Cambria Math" w:hAnsi="Cambria Math"/>
            <w:color w:val="000000"/>
          </w:rPr>
          <m:t>f</m:t>
        </m:r>
      </m:oMath>
      <w:r w:rsidRPr="007E5719">
        <w:rPr>
          <w:color w:val="000000"/>
        </w:rPr>
        <w:t xml:space="preserve"> – коэффициент трения Фаннинга,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d</m:t>
            </m:r>
          </m:e>
          <m:sub>
            <m:r>
              <w:rPr>
                <w:rFonts w:ascii="Cambria Math" w:hAnsi="Cambria Math"/>
                <w:color w:val="000000"/>
              </w:rPr>
              <m:t>t</m:t>
            </m:r>
          </m:sub>
        </m:sSub>
      </m:oMath>
      <w:r w:rsidRPr="007E5719">
        <w:rPr>
          <w:color w:val="000000"/>
        </w:rPr>
        <w:t xml:space="preserve"> – диаметр трубы реактора,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b</m:t>
            </m:r>
          </m:sub>
        </m:sSub>
      </m:oMath>
      <w:r w:rsidRPr="007E5719">
        <w:rPr>
          <w:color w:val="000000"/>
        </w:rPr>
        <w:t xml:space="preserve"> – радиус кривизны колена пирозмеевика, </w:t>
      </w:r>
      <m:oMath>
        <m:r>
          <w:rPr>
            <w:rFonts w:ascii="Cambria Math" w:hAnsi="Cambria Math"/>
            <w:color w:val="000000"/>
          </w:rPr>
          <m:t>ζ</m:t>
        </m:r>
      </m:oMath>
      <w:r w:rsidRPr="007E5719">
        <w:rPr>
          <w:color w:val="000000"/>
        </w:rPr>
        <w:t xml:space="preserve"> – коэффициент Некрасова для изгибов, </w:t>
      </w:r>
      <m:oMath>
        <m:r>
          <w:rPr>
            <w:rFonts w:ascii="Cambria Math" w:hAnsi="Cambria Math"/>
            <w:color w:val="000000"/>
          </w:rPr>
          <m:t>ρ</m:t>
        </m:r>
      </m:oMath>
      <w:r w:rsidRPr="007E5719">
        <w:rPr>
          <w:color w:val="000000"/>
        </w:rPr>
        <w:t xml:space="preserve"> – плотность реакционной смеси;</w:t>
      </w:r>
      <w:r w:rsidRPr="007E5719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u</m:t>
        </m:r>
      </m:oMath>
      <w:r w:rsidRPr="007E5719">
        <w:rPr>
          <w:color w:val="000000"/>
        </w:rPr>
        <w:t xml:space="preserve"> – линейная скорость потока.</w:t>
      </w:r>
    </w:p>
    <w:p w14:paraId="3EEE094B" w14:textId="62EFA7B9" w:rsidR="007E5719" w:rsidRDefault="00304CC4" w:rsidP="007E5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оценки влияния ингибитора на коксообразование построена модель, в которой кинетические параметры коксообразования скорректированы в зависимости от применяемого ингибитора и его количества. При этом эффективность снижения коксообразования и выхода </w:t>
      </w:r>
      <w:r w:rsidR="008F643E">
        <w:t>монооксида углерода</w:t>
      </w:r>
      <w:r w:rsidRPr="00304CC4">
        <w:t xml:space="preserve"> </w:t>
      </w:r>
      <w:r>
        <w:t>основывалась на экспериментальных данных по ис</w:t>
      </w:r>
      <w:r w:rsidR="004900A2">
        <w:t>с</w:t>
      </w:r>
      <w:r>
        <w:t>ледованию серосодержащих ингибиторов таких как дим</w:t>
      </w:r>
      <w:r w:rsidR="004900A2">
        <w:t>е</w:t>
      </w:r>
      <w:r>
        <w:t>т</w:t>
      </w:r>
      <w:r w:rsidR="004900A2">
        <w:t>ил</w:t>
      </w:r>
      <w:r>
        <w:t>дисульфид</w:t>
      </w:r>
      <w:r w:rsidR="00C13904" w:rsidRPr="00C13904">
        <w:t xml:space="preserve"> (</w:t>
      </w:r>
      <w:r w:rsidR="00C13904">
        <w:t>ДМДС)</w:t>
      </w:r>
      <w:r>
        <w:t xml:space="preserve">, диметилсульфид </w:t>
      </w:r>
      <w:r w:rsidR="00C13904">
        <w:t xml:space="preserve">(ДМС) </w:t>
      </w:r>
      <w:r>
        <w:t xml:space="preserve">и диметилсульфоксид </w:t>
      </w:r>
      <w:r w:rsidR="00C13904">
        <w:t xml:space="preserve">(ДМСО) </w:t>
      </w:r>
      <w:r w:rsidR="004900A2" w:rsidRPr="004900A2">
        <w:t>[</w:t>
      </w:r>
      <w:r w:rsidR="00C13904" w:rsidRPr="00C13904">
        <w:t>2</w:t>
      </w:r>
      <w:r w:rsidR="004900A2" w:rsidRPr="004900A2">
        <w:t xml:space="preserve">]. </w:t>
      </w:r>
    </w:p>
    <w:p w14:paraId="1F024C82" w14:textId="1A0795D6" w:rsidR="007E5719" w:rsidRPr="001D146B" w:rsidRDefault="007E5719" w:rsidP="007E5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Разработанная модель пиролиза </w:t>
      </w:r>
      <w:r w:rsidR="0036239A">
        <w:t xml:space="preserve">применялась </w:t>
      </w:r>
      <w:r w:rsidR="001D146B">
        <w:t>с исходными данными,</w:t>
      </w:r>
      <w:r w:rsidR="0036239A">
        <w:t xml:space="preserve"> взятыми с установки пиролиза этановой фракции мощностью </w:t>
      </w:r>
      <w:r w:rsidR="001D146B">
        <w:t>18 т</w:t>
      </w:r>
      <w:r w:rsidR="001D146B">
        <w:rPr>
          <w:lang w:val="en-GB"/>
        </w:rPr>
        <w:t>/</w:t>
      </w:r>
      <w:r w:rsidR="001D146B">
        <w:t>ч по этилену.</w:t>
      </w:r>
      <w:bookmarkStart w:id="0" w:name="_GoBack"/>
      <w:bookmarkEnd w:id="0"/>
    </w:p>
    <w:p w14:paraId="0000000E" w14:textId="77777777" w:rsidR="00130241" w:rsidRPr="007E57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C1AD3F9" w:rsidR="00116478" w:rsidRPr="00C1390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13904">
        <w:rPr>
          <w:color w:val="000000"/>
        </w:rPr>
        <w:t xml:space="preserve">1. </w:t>
      </w:r>
      <w:r w:rsidR="00C13904" w:rsidRPr="00C13904">
        <w:rPr>
          <w:color w:val="000000"/>
        </w:rPr>
        <w:t>Жагфаров</w:t>
      </w:r>
      <w:r w:rsidR="00C13904" w:rsidRPr="00C13904">
        <w:rPr>
          <w:color w:val="000000"/>
        </w:rPr>
        <w:t xml:space="preserve"> </w:t>
      </w:r>
      <w:r w:rsidR="00C13904" w:rsidRPr="00C13904">
        <w:rPr>
          <w:color w:val="000000"/>
        </w:rPr>
        <w:t>Ф.Г., Столярова</w:t>
      </w:r>
      <w:r w:rsidR="00C13904" w:rsidRPr="00C13904">
        <w:rPr>
          <w:color w:val="000000"/>
        </w:rPr>
        <w:t xml:space="preserve"> </w:t>
      </w:r>
      <w:r w:rsidR="00C13904" w:rsidRPr="00C13904">
        <w:rPr>
          <w:color w:val="000000"/>
        </w:rPr>
        <w:t>П.С., Карпов А.Б. Кинетические модели пиролиза с ингибированием коксообразования / // Научный журнал Российского газового общества. – 2024. – № 4(46). – С. 36-43.</w:t>
      </w:r>
    </w:p>
    <w:p w14:paraId="3486C755" w14:textId="06EB7C6C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C13904" w:rsidRPr="00C13904">
        <w:rPr>
          <w:color w:val="000000"/>
          <w:lang w:val="en-US"/>
        </w:rPr>
        <w:t>Karpov A.B., Zhagfarov F.G., Gyulmaliev A.M.</w:t>
      </w:r>
      <w:r w:rsidR="00C13904">
        <w:rPr>
          <w:color w:val="000000"/>
          <w:lang w:val="en-US"/>
        </w:rPr>
        <w:t xml:space="preserve"> </w:t>
      </w:r>
      <w:r w:rsidR="00C13904" w:rsidRPr="00C13904">
        <w:rPr>
          <w:color w:val="000000"/>
          <w:lang w:val="en-US"/>
        </w:rPr>
        <w:t>Assessment of Kinetic Indicators of Coke Formation in the Course of Steam Cracking with the Use of Inhibitors // Solid Fuel Chemistry. – 2023. – Vol. 57, No. S1. – P. 6-11.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146B"/>
    <w:rsid w:val="001E61C2"/>
    <w:rsid w:val="001F0493"/>
    <w:rsid w:val="001F3545"/>
    <w:rsid w:val="0022260A"/>
    <w:rsid w:val="002264EE"/>
    <w:rsid w:val="0023307C"/>
    <w:rsid w:val="002747B3"/>
    <w:rsid w:val="00304CC4"/>
    <w:rsid w:val="0031361E"/>
    <w:rsid w:val="0036239A"/>
    <w:rsid w:val="00391C38"/>
    <w:rsid w:val="003B76D6"/>
    <w:rsid w:val="003E2601"/>
    <w:rsid w:val="003F4E6B"/>
    <w:rsid w:val="004653D7"/>
    <w:rsid w:val="004900A2"/>
    <w:rsid w:val="004A26A3"/>
    <w:rsid w:val="004F0EDF"/>
    <w:rsid w:val="00522BF1"/>
    <w:rsid w:val="00590166"/>
    <w:rsid w:val="005D022B"/>
    <w:rsid w:val="005E5BE9"/>
    <w:rsid w:val="00682F72"/>
    <w:rsid w:val="0069427D"/>
    <w:rsid w:val="006F7A19"/>
    <w:rsid w:val="007213E1"/>
    <w:rsid w:val="00775389"/>
    <w:rsid w:val="00797838"/>
    <w:rsid w:val="007C36D8"/>
    <w:rsid w:val="007E5719"/>
    <w:rsid w:val="007F05AC"/>
    <w:rsid w:val="007F2744"/>
    <w:rsid w:val="00844D9D"/>
    <w:rsid w:val="008931BE"/>
    <w:rsid w:val="008C67E3"/>
    <w:rsid w:val="008F643E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17728"/>
    <w:rsid w:val="00BF36F8"/>
    <w:rsid w:val="00BF4622"/>
    <w:rsid w:val="00C13904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D3286"/>
    <w:rsid w:val="00F378A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lyarova.p@gubk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9EAC3-AFA6-4BFF-AD48-FC23870D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5</cp:revision>
  <dcterms:created xsi:type="dcterms:W3CDTF">2025-03-02T14:38:00Z</dcterms:created>
  <dcterms:modified xsi:type="dcterms:W3CDTF">2025-03-02T22:09:00Z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