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0F327" w14:textId="7DCB04A2" w:rsidR="005832CB" w:rsidRPr="00303194" w:rsidRDefault="005832CB" w:rsidP="00303194">
      <w:pPr>
        <w:jc w:val="center"/>
        <w:rPr>
          <w:b/>
          <w:sz w:val="24"/>
          <w:szCs w:val="26"/>
        </w:rPr>
      </w:pPr>
      <w:r w:rsidRPr="00303194">
        <w:rPr>
          <w:b/>
          <w:sz w:val="24"/>
          <w:szCs w:val="26"/>
        </w:rPr>
        <w:t>Гальваномеханические и гальванодиффузионные эффекты в гексагональных дираковских 2</w:t>
      </w:r>
      <w:r w:rsidRPr="00303194">
        <w:rPr>
          <w:b/>
          <w:sz w:val="24"/>
          <w:szCs w:val="26"/>
          <w:lang w:val="en-US"/>
        </w:rPr>
        <w:t>D</w:t>
      </w:r>
      <w:r w:rsidRPr="00303194">
        <w:rPr>
          <w:b/>
          <w:sz w:val="24"/>
          <w:szCs w:val="26"/>
        </w:rPr>
        <w:t xml:space="preserve"> монослойных материалах </w:t>
      </w:r>
    </w:p>
    <w:p w14:paraId="2F393EB0" w14:textId="77777777" w:rsidR="00303194" w:rsidRDefault="00303194" w:rsidP="003031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Снегирев Андрей Вячеславович</w:t>
      </w:r>
      <w:r>
        <w:rPr>
          <w:b/>
          <w:i/>
          <w:sz w:val="24"/>
          <w:szCs w:val="24"/>
          <w:vertAlign w:val="superscript"/>
        </w:rPr>
        <w:t>1,2</w:t>
      </w:r>
      <w:r>
        <w:rPr>
          <w:sz w:val="24"/>
          <w:szCs w:val="24"/>
        </w:rPr>
        <w:t xml:space="preserve"> </w:t>
      </w:r>
    </w:p>
    <w:p w14:paraId="4226C3AC" w14:textId="20AC2EC9" w:rsidR="00303194" w:rsidRDefault="00303194" w:rsidP="003031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Студент, </w:t>
      </w:r>
      <w:r w:rsidRPr="00303194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курс магистратуры </w:t>
      </w:r>
    </w:p>
    <w:p w14:paraId="642D803D" w14:textId="77777777" w:rsidR="00303194" w:rsidRDefault="00303194" w:rsidP="003031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4"/>
          <w:szCs w:val="24"/>
        </w:rPr>
      </w:pPr>
      <w:r>
        <w:rPr>
          <w:i/>
          <w:sz w:val="24"/>
          <w:szCs w:val="24"/>
          <w:vertAlign w:val="superscript"/>
        </w:rPr>
        <w:t>1</w:t>
      </w:r>
      <w:r>
        <w:rPr>
          <w:i/>
          <w:sz w:val="24"/>
          <w:szCs w:val="24"/>
        </w:rPr>
        <w:t>Новосибирский государственный университет, </w:t>
      </w:r>
    </w:p>
    <w:p w14:paraId="409D8D6F" w14:textId="77777777" w:rsidR="00303194" w:rsidRDefault="00303194" w:rsidP="003031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4"/>
          <w:szCs w:val="24"/>
        </w:rPr>
      </w:pPr>
      <w:r>
        <w:rPr>
          <w:i/>
          <w:sz w:val="24"/>
          <w:szCs w:val="24"/>
        </w:rPr>
        <w:t>Физический факультет, Новосибирск, Россия</w:t>
      </w:r>
    </w:p>
    <w:p w14:paraId="7747BD07" w14:textId="77777777" w:rsidR="00303194" w:rsidRDefault="00303194" w:rsidP="003031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4"/>
          <w:szCs w:val="24"/>
        </w:rPr>
      </w:pP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Институт физики полупроводников им. А.В.Ржанова СО РАН, </w:t>
      </w:r>
    </w:p>
    <w:p w14:paraId="162BB05A" w14:textId="77777777" w:rsidR="00303194" w:rsidRDefault="00303194" w:rsidP="003031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4"/>
          <w:szCs w:val="24"/>
        </w:rPr>
      </w:pPr>
      <w:r>
        <w:rPr>
          <w:i/>
          <w:sz w:val="24"/>
          <w:szCs w:val="24"/>
        </w:rPr>
        <w:t>Новосибирск, Россия</w:t>
      </w:r>
    </w:p>
    <w:p w14:paraId="42AD1C26" w14:textId="2B441E00" w:rsidR="005832CB" w:rsidRPr="00F93027" w:rsidRDefault="00E5519D" w:rsidP="00E5519D">
      <w:pPr>
        <w:spacing w:line="259" w:lineRule="auto"/>
        <w:ind w:firstLine="708"/>
        <w:jc w:val="center"/>
        <w:rPr>
          <w:sz w:val="21"/>
          <w:szCs w:val="21"/>
        </w:rPr>
      </w:pPr>
      <w:r w:rsidRPr="000C3FAF">
        <w:rPr>
          <w:i/>
          <w:sz w:val="24"/>
          <w:szCs w:val="24"/>
          <w:lang w:val="en-US"/>
        </w:rPr>
        <w:t>E</w:t>
      </w:r>
      <w:r w:rsidRPr="00F93027">
        <w:rPr>
          <w:i/>
          <w:sz w:val="24"/>
          <w:szCs w:val="24"/>
        </w:rPr>
        <w:t>–</w:t>
      </w:r>
      <w:r w:rsidRPr="000C3FAF">
        <w:rPr>
          <w:i/>
          <w:sz w:val="24"/>
          <w:szCs w:val="24"/>
          <w:lang w:val="en-US"/>
        </w:rPr>
        <w:t>mail</w:t>
      </w:r>
      <w:r w:rsidRPr="00F93027">
        <w:rPr>
          <w:i/>
          <w:sz w:val="24"/>
          <w:szCs w:val="24"/>
        </w:rPr>
        <w:t xml:space="preserve">: </w:t>
      </w:r>
      <w:r w:rsidR="00F93027">
        <w:rPr>
          <w:rStyle w:val="Hyperlink"/>
          <w:i/>
          <w:sz w:val="24"/>
          <w:szCs w:val="24"/>
          <w:lang w:val="en-US"/>
        </w:rPr>
        <w:fldChar w:fldCharType="begin"/>
      </w:r>
      <w:r w:rsidR="00F93027" w:rsidRPr="00F93027">
        <w:rPr>
          <w:rStyle w:val="Hyperlink"/>
          <w:i/>
          <w:sz w:val="24"/>
          <w:szCs w:val="24"/>
        </w:rPr>
        <w:instrText xml:space="preserve"> </w:instrText>
      </w:r>
      <w:r w:rsidR="00F93027">
        <w:rPr>
          <w:rStyle w:val="Hyperlink"/>
          <w:i/>
          <w:sz w:val="24"/>
          <w:szCs w:val="24"/>
          <w:lang w:val="en-US"/>
        </w:rPr>
        <w:instrText>HYPERLINK</w:instrText>
      </w:r>
      <w:r w:rsidR="00F93027" w:rsidRPr="00F93027">
        <w:rPr>
          <w:rStyle w:val="Hyperlink"/>
          <w:i/>
          <w:sz w:val="24"/>
          <w:szCs w:val="24"/>
        </w:rPr>
        <w:instrText xml:space="preserve"> "</w:instrText>
      </w:r>
      <w:r w:rsidR="00F93027">
        <w:rPr>
          <w:rStyle w:val="Hyperlink"/>
          <w:i/>
          <w:sz w:val="24"/>
          <w:szCs w:val="24"/>
          <w:lang w:val="en-US"/>
        </w:rPr>
        <w:instrText>mailto</w:instrText>
      </w:r>
      <w:r w:rsidR="00F93027" w:rsidRPr="00F93027">
        <w:rPr>
          <w:rStyle w:val="Hyperlink"/>
          <w:i/>
          <w:sz w:val="24"/>
          <w:szCs w:val="24"/>
        </w:rPr>
        <w:instrText>:</w:instrText>
      </w:r>
      <w:r w:rsidR="00F93027">
        <w:rPr>
          <w:rStyle w:val="Hyperlink"/>
          <w:i/>
          <w:sz w:val="24"/>
          <w:szCs w:val="24"/>
          <w:lang w:val="en-US"/>
        </w:rPr>
        <w:instrText>komrad</w:instrText>
      </w:r>
      <w:r w:rsidR="00F93027" w:rsidRPr="00F93027">
        <w:rPr>
          <w:rStyle w:val="Hyperlink"/>
          <w:i/>
          <w:sz w:val="24"/>
          <w:szCs w:val="24"/>
        </w:rPr>
        <w:instrText>.</w:instrText>
      </w:r>
      <w:r w:rsidR="00F93027">
        <w:rPr>
          <w:rStyle w:val="Hyperlink"/>
          <w:i/>
          <w:sz w:val="24"/>
          <w:szCs w:val="24"/>
          <w:lang w:val="en-US"/>
        </w:rPr>
        <w:instrText>snegirev</w:instrText>
      </w:r>
      <w:r w:rsidR="00F93027" w:rsidRPr="00F93027">
        <w:rPr>
          <w:rStyle w:val="Hyperlink"/>
          <w:i/>
          <w:sz w:val="24"/>
          <w:szCs w:val="24"/>
        </w:rPr>
        <w:instrText>2017@</w:instrText>
      </w:r>
      <w:r w:rsidR="00F93027">
        <w:rPr>
          <w:rStyle w:val="Hyperlink"/>
          <w:i/>
          <w:sz w:val="24"/>
          <w:szCs w:val="24"/>
          <w:lang w:val="en-US"/>
        </w:rPr>
        <w:instrText>gmail</w:instrText>
      </w:r>
      <w:r w:rsidR="00F93027" w:rsidRPr="00F93027">
        <w:rPr>
          <w:rStyle w:val="Hyperlink"/>
          <w:i/>
          <w:sz w:val="24"/>
          <w:szCs w:val="24"/>
        </w:rPr>
        <w:instrText>.</w:instrText>
      </w:r>
      <w:r w:rsidR="00F93027">
        <w:rPr>
          <w:rStyle w:val="Hyperlink"/>
          <w:i/>
          <w:sz w:val="24"/>
          <w:szCs w:val="24"/>
          <w:lang w:val="en-US"/>
        </w:rPr>
        <w:instrText>com</w:instrText>
      </w:r>
      <w:r w:rsidR="00F93027" w:rsidRPr="00F93027">
        <w:rPr>
          <w:rStyle w:val="Hyperlink"/>
          <w:i/>
          <w:sz w:val="24"/>
          <w:szCs w:val="24"/>
        </w:rPr>
        <w:instrText xml:space="preserve">" </w:instrText>
      </w:r>
      <w:r w:rsidR="00F93027">
        <w:rPr>
          <w:rStyle w:val="Hyperlink"/>
          <w:i/>
          <w:sz w:val="24"/>
          <w:szCs w:val="24"/>
          <w:lang w:val="en-US"/>
        </w:rPr>
        <w:fldChar w:fldCharType="separate"/>
      </w:r>
      <w:r w:rsidRPr="00137889">
        <w:rPr>
          <w:rStyle w:val="Hyperlink"/>
          <w:i/>
          <w:sz w:val="24"/>
          <w:szCs w:val="24"/>
          <w:lang w:val="en-US"/>
        </w:rPr>
        <w:t>komrad</w:t>
      </w:r>
      <w:r w:rsidRPr="00F93027">
        <w:rPr>
          <w:rStyle w:val="Hyperlink"/>
          <w:i/>
          <w:sz w:val="24"/>
          <w:szCs w:val="24"/>
        </w:rPr>
        <w:t>.</w:t>
      </w:r>
      <w:r w:rsidRPr="00137889">
        <w:rPr>
          <w:rStyle w:val="Hyperlink"/>
          <w:i/>
          <w:sz w:val="24"/>
          <w:szCs w:val="24"/>
          <w:lang w:val="en-US"/>
        </w:rPr>
        <w:t>snegirev</w:t>
      </w:r>
      <w:r w:rsidRPr="00F93027">
        <w:rPr>
          <w:rStyle w:val="Hyperlink"/>
          <w:i/>
          <w:sz w:val="24"/>
          <w:szCs w:val="24"/>
        </w:rPr>
        <w:t>2017@</w:t>
      </w:r>
      <w:r w:rsidRPr="00137889">
        <w:rPr>
          <w:rStyle w:val="Hyperlink"/>
          <w:i/>
          <w:sz w:val="24"/>
          <w:szCs w:val="24"/>
          <w:lang w:val="en-US"/>
        </w:rPr>
        <w:t>gmail</w:t>
      </w:r>
      <w:r w:rsidRPr="00F93027">
        <w:rPr>
          <w:rStyle w:val="Hyperlink"/>
          <w:i/>
          <w:sz w:val="24"/>
          <w:szCs w:val="24"/>
        </w:rPr>
        <w:t>.</w:t>
      </w:r>
      <w:r w:rsidRPr="00137889">
        <w:rPr>
          <w:rStyle w:val="Hyperlink"/>
          <w:i/>
          <w:sz w:val="24"/>
          <w:szCs w:val="24"/>
          <w:lang w:val="en-US"/>
        </w:rPr>
        <w:t>com</w:t>
      </w:r>
      <w:r w:rsidR="00F93027">
        <w:rPr>
          <w:rStyle w:val="Hyperlink"/>
          <w:i/>
          <w:sz w:val="24"/>
          <w:szCs w:val="24"/>
          <w:lang w:val="en-US"/>
        </w:rPr>
        <w:fldChar w:fldCharType="end"/>
      </w:r>
    </w:p>
    <w:p w14:paraId="061DB6C0" w14:textId="13A491DA" w:rsidR="0067226D" w:rsidRPr="00303194" w:rsidRDefault="0067226D" w:rsidP="0067226D">
      <w:pPr>
        <w:spacing w:line="259" w:lineRule="auto"/>
        <w:ind w:firstLine="708"/>
        <w:rPr>
          <w:sz w:val="24"/>
          <w:szCs w:val="24"/>
        </w:rPr>
      </w:pPr>
      <w:r w:rsidRPr="00303194">
        <w:rPr>
          <w:sz w:val="24"/>
          <w:szCs w:val="24"/>
        </w:rPr>
        <w:t>Дихалькогениды переходных металлов (ДПМ) – относительно новый класс соединений, который привлёк большое внимание исследователей во многом благодаря своим уникальным оптическим и транспортным свойствам. Эти свойства обусловлены их необычной зонной структурой содержащей пары электронных и дырочных долин. В результате, у носителей заряда появляется дополнительная, долинная степень свободы. Оптическое возбуждение циркулярно-поляризованным светом может приводить к неравновесному заселению долин</w:t>
      </w:r>
      <w:r w:rsidR="00E5519D">
        <w:rPr>
          <w:sz w:val="24"/>
          <w:szCs w:val="24"/>
        </w:rPr>
        <w:t xml:space="preserve">, поэтому особый интерес для лучшего понимания физики данных соединений и для их возможных практических применений, важно </w:t>
      </w:r>
      <w:r w:rsidR="007C55DC">
        <w:rPr>
          <w:sz w:val="24"/>
          <w:szCs w:val="24"/>
        </w:rPr>
        <w:t>исследование транспортных свойств ДПМ при облучении поляризованным светом, что и является целью данной работы.</w:t>
      </w:r>
    </w:p>
    <w:p w14:paraId="3CF8882A" w14:textId="6F3FA47D" w:rsidR="00856084" w:rsidRPr="00303194" w:rsidRDefault="0067226D" w:rsidP="00E5519D">
      <w:pPr>
        <w:ind w:firstLine="708"/>
        <w:rPr>
          <w:sz w:val="24"/>
          <w:szCs w:val="24"/>
        </w:rPr>
      </w:pPr>
      <w:r w:rsidRPr="00303194">
        <w:rPr>
          <w:sz w:val="24"/>
          <w:szCs w:val="24"/>
        </w:rPr>
        <w:t xml:space="preserve">Первая часть данной работы посвящена теоретическому исследованию электронных транспортных эффектов в монослоях ДПМ, обусловленных неоднородным распределением концентрации носителей заряда. Последнее может быть достигнуто, например, неравномерным облучением образца или инжекцией электронов из других материалов. </w:t>
      </w:r>
      <w:r w:rsidR="00E36D21" w:rsidRPr="00303194">
        <w:rPr>
          <w:sz w:val="24"/>
          <w:szCs w:val="24"/>
        </w:rPr>
        <w:t>Было рассмотрено изотропное рассеяние электронов на точечных и кулоновских примесях.</w:t>
      </w:r>
      <w:r w:rsidR="00E5519D">
        <w:rPr>
          <w:sz w:val="24"/>
          <w:szCs w:val="24"/>
        </w:rPr>
        <w:t xml:space="preserve"> </w:t>
      </w:r>
      <w:r w:rsidRPr="00303194">
        <w:rPr>
          <w:sz w:val="24"/>
          <w:szCs w:val="24"/>
        </w:rPr>
        <w:t>Показано, что в результате учета тригональной гофрировки зон появляются квадратичные по градиентам концентрации поправки к току.</w:t>
      </w:r>
      <w:r w:rsidR="00303194" w:rsidRPr="00303194">
        <w:rPr>
          <w:sz w:val="24"/>
          <w:szCs w:val="24"/>
        </w:rPr>
        <w:t>[1]</w:t>
      </w:r>
    </w:p>
    <w:p w14:paraId="258C97BD" w14:textId="62D0B06C" w:rsidR="005832CB" w:rsidRPr="00E5519D" w:rsidRDefault="0067226D" w:rsidP="00E5519D">
      <w:pPr>
        <w:ind w:firstLine="708"/>
        <w:rPr>
          <w:sz w:val="24"/>
          <w:szCs w:val="24"/>
        </w:rPr>
      </w:pPr>
      <w:r w:rsidRPr="00303194">
        <w:rPr>
          <w:sz w:val="24"/>
          <w:szCs w:val="24"/>
        </w:rPr>
        <w:t>В</w:t>
      </w:r>
      <w:r w:rsidR="00E36D21" w:rsidRPr="00303194">
        <w:rPr>
          <w:sz w:val="24"/>
          <w:szCs w:val="24"/>
        </w:rPr>
        <w:t>о второй части работы рассматривался фотогальванический эффект, индуцированный одноосной деформацией и облучением образца циркулярно-поляризованным светом.</w:t>
      </w:r>
      <w:r w:rsidR="005832CB" w:rsidRPr="00303194">
        <w:rPr>
          <w:sz w:val="24"/>
          <w:szCs w:val="24"/>
        </w:rPr>
        <w:t xml:space="preserve"> </w:t>
      </w:r>
      <w:r w:rsidR="00E5519D">
        <w:rPr>
          <w:sz w:val="24"/>
          <w:szCs w:val="24"/>
        </w:rPr>
        <w:t xml:space="preserve">Деформация нарушает тригональную симметрию </w:t>
      </w:r>
      <w:r w:rsidR="00E5519D" w:rsidRPr="00742846">
        <w:rPr>
          <w:sz w:val="24"/>
          <w:szCs w:val="24"/>
        </w:rPr>
        <w:t>решетки</w:t>
      </w:r>
      <w:r w:rsidR="00E5519D">
        <w:rPr>
          <w:sz w:val="24"/>
          <w:szCs w:val="24"/>
        </w:rPr>
        <w:t>, вследствие чего может возник</w:t>
      </w:r>
      <w:r w:rsidR="00E5519D" w:rsidRPr="00742846">
        <w:rPr>
          <w:sz w:val="24"/>
          <w:szCs w:val="24"/>
        </w:rPr>
        <w:t>ать фотогальванический</w:t>
      </w:r>
      <w:r w:rsidR="00E5519D" w:rsidRPr="00B37511">
        <w:rPr>
          <w:color w:val="FF0000"/>
          <w:sz w:val="24"/>
          <w:szCs w:val="24"/>
        </w:rPr>
        <w:t xml:space="preserve"> </w:t>
      </w:r>
      <w:r w:rsidR="00E5519D">
        <w:rPr>
          <w:sz w:val="24"/>
          <w:szCs w:val="24"/>
        </w:rPr>
        <w:t xml:space="preserve">ток </w:t>
      </w:r>
      <w:r w:rsidR="00E5519D" w:rsidRPr="00742846">
        <w:rPr>
          <w:sz w:val="24"/>
          <w:szCs w:val="24"/>
        </w:rPr>
        <w:t>(ФГЭ)</w:t>
      </w:r>
      <w:r w:rsidR="00E5519D">
        <w:rPr>
          <w:sz w:val="24"/>
          <w:szCs w:val="24"/>
        </w:rPr>
        <w:t xml:space="preserve">. Было показано, что в первом порядке малости по </w:t>
      </w:r>
      <w:r w:rsidR="00E5519D" w:rsidRPr="00742846">
        <w:rPr>
          <w:sz w:val="24"/>
          <w:szCs w:val="24"/>
        </w:rPr>
        <w:t>деформации, электрический</w:t>
      </w:r>
      <w:r w:rsidR="00E5519D" w:rsidRPr="001A311B">
        <w:rPr>
          <w:sz w:val="24"/>
          <w:szCs w:val="24"/>
        </w:rPr>
        <w:t xml:space="preserve"> </w:t>
      </w:r>
      <w:r w:rsidR="00E5519D">
        <w:rPr>
          <w:sz w:val="24"/>
          <w:szCs w:val="24"/>
        </w:rPr>
        <w:t xml:space="preserve">ток возникает благодаря междолинному рассеянию электронов. </w:t>
      </w:r>
      <w:r w:rsidR="005832CB" w:rsidRPr="00303194">
        <w:rPr>
          <w:sz w:val="24"/>
          <w:szCs w:val="24"/>
        </w:rPr>
        <w:t>Были рассмотрены случаи легированных и чистых полупроводников.</w:t>
      </w:r>
      <w:r w:rsidR="00303194" w:rsidRPr="00303194">
        <w:rPr>
          <w:sz w:val="24"/>
          <w:szCs w:val="24"/>
        </w:rPr>
        <w:t>[</w:t>
      </w:r>
      <w:r w:rsidR="00303194" w:rsidRPr="00E5519D">
        <w:rPr>
          <w:sz w:val="24"/>
          <w:szCs w:val="24"/>
        </w:rPr>
        <w:t>2]</w:t>
      </w:r>
    </w:p>
    <w:p w14:paraId="1DA5F764" w14:textId="77777777" w:rsidR="005832CB" w:rsidRPr="00303194" w:rsidRDefault="005832CB" w:rsidP="00E5519D">
      <w:pPr>
        <w:ind w:firstLine="708"/>
        <w:rPr>
          <w:sz w:val="24"/>
          <w:szCs w:val="24"/>
        </w:rPr>
      </w:pPr>
      <w:r w:rsidRPr="00303194">
        <w:rPr>
          <w:sz w:val="24"/>
          <w:szCs w:val="24"/>
        </w:rPr>
        <w:t>Полученные эффекты имеют долинный характер и чувствительны к поляризации облучающего излучения.</w:t>
      </w:r>
      <w:r w:rsidRPr="00303194">
        <w:rPr>
          <w:color w:val="0070C0"/>
          <w:sz w:val="24"/>
          <w:szCs w:val="24"/>
        </w:rPr>
        <w:t xml:space="preserve"> </w:t>
      </w:r>
      <w:r w:rsidRPr="00303194">
        <w:rPr>
          <w:sz w:val="24"/>
          <w:szCs w:val="24"/>
        </w:rPr>
        <w:t>Результаты данной работы будут полезны для лучшего понимания физики деформируемых двумерных материалов, а также для проектирования оптоэлектронных приборов.</w:t>
      </w:r>
    </w:p>
    <w:p w14:paraId="031086FB" w14:textId="0021EA2C" w:rsidR="00AC1FEF" w:rsidRDefault="00AC1FEF" w:rsidP="00E5519D">
      <w:pPr>
        <w:ind w:firstLine="708"/>
        <w:rPr>
          <w:sz w:val="24"/>
          <w:szCs w:val="24"/>
        </w:rPr>
      </w:pPr>
      <w:r w:rsidRPr="00303194">
        <w:rPr>
          <w:sz w:val="24"/>
          <w:szCs w:val="24"/>
        </w:rPr>
        <w:t>Данная работа была поддержана РНФ (грант № 24-22-00174).</w:t>
      </w:r>
    </w:p>
    <w:p w14:paraId="30213B8E" w14:textId="321AE43F" w:rsidR="00303194" w:rsidRDefault="00303194" w:rsidP="003031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и литература</w:t>
      </w:r>
    </w:p>
    <w:p w14:paraId="4CB30566" w14:textId="51345E51" w:rsidR="00145F0A" w:rsidRPr="00E5519D" w:rsidRDefault="00E5519D" w:rsidP="003933D0">
      <w:pPr>
        <w:pStyle w:val="ListParagraph"/>
        <w:numPr>
          <w:ilvl w:val="0"/>
          <w:numId w:val="1"/>
        </w:numPr>
        <w:jc w:val="left"/>
        <w:rPr>
          <w:sz w:val="32"/>
          <w:szCs w:val="24"/>
        </w:rPr>
      </w:pPr>
      <w:proofErr w:type="spellStart"/>
      <w:r w:rsidRPr="00E5519D">
        <w:rPr>
          <w:color w:val="222222"/>
          <w:sz w:val="24"/>
          <w:szCs w:val="20"/>
          <w:shd w:val="clear" w:color="auto" w:fill="FFFFFF"/>
          <w:lang w:val="en-US"/>
        </w:rPr>
        <w:t>Snegirev</w:t>
      </w:r>
      <w:proofErr w:type="spellEnd"/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 A. V., </w:t>
      </w:r>
      <w:proofErr w:type="spellStart"/>
      <w:r w:rsidRPr="00E5519D">
        <w:rPr>
          <w:color w:val="222222"/>
          <w:sz w:val="24"/>
          <w:szCs w:val="20"/>
          <w:shd w:val="clear" w:color="auto" w:fill="FFFFFF"/>
          <w:lang w:val="en-US"/>
        </w:rPr>
        <w:t>Kovalev</w:t>
      </w:r>
      <w:proofErr w:type="spellEnd"/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 V. M., </w:t>
      </w:r>
      <w:proofErr w:type="spellStart"/>
      <w:r w:rsidRPr="00E5519D">
        <w:rPr>
          <w:color w:val="222222"/>
          <w:sz w:val="24"/>
          <w:szCs w:val="20"/>
          <w:shd w:val="clear" w:color="auto" w:fill="FFFFFF"/>
          <w:lang w:val="en-US"/>
        </w:rPr>
        <w:t>Entin</w:t>
      </w:r>
      <w:proofErr w:type="spellEnd"/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 M. V. Electron diffusion induced valley Hall effect and nonlinear </w:t>
      </w:r>
      <w:proofErr w:type="spellStart"/>
      <w:r w:rsidRPr="00E5519D">
        <w:rPr>
          <w:color w:val="222222"/>
          <w:sz w:val="24"/>
          <w:szCs w:val="20"/>
          <w:shd w:val="clear" w:color="auto" w:fill="FFFFFF"/>
          <w:lang w:val="en-US"/>
        </w:rPr>
        <w:t>galvanodiffusive</w:t>
      </w:r>
      <w:proofErr w:type="spellEnd"/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 transport in hexagonal two-dimensional Dirac monolayer materials //Physical Review B. – 2023. – </w:t>
      </w:r>
      <w:r w:rsidRPr="00E5519D">
        <w:rPr>
          <w:color w:val="222222"/>
          <w:sz w:val="24"/>
          <w:szCs w:val="20"/>
          <w:shd w:val="clear" w:color="auto" w:fill="FFFFFF"/>
        </w:rPr>
        <w:t>Т</w:t>
      </w:r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. 107. – №. </w:t>
      </w:r>
      <w:r w:rsidRPr="00E5519D">
        <w:rPr>
          <w:color w:val="222222"/>
          <w:sz w:val="24"/>
          <w:szCs w:val="20"/>
          <w:shd w:val="clear" w:color="auto" w:fill="FFFFFF"/>
        </w:rPr>
        <w:t>8. – С. 085415.</w:t>
      </w:r>
    </w:p>
    <w:p w14:paraId="61133984" w14:textId="5393AC25" w:rsidR="00E5519D" w:rsidRPr="00E5519D" w:rsidRDefault="00E5519D" w:rsidP="003933D0">
      <w:pPr>
        <w:pStyle w:val="ListParagraph"/>
        <w:numPr>
          <w:ilvl w:val="0"/>
          <w:numId w:val="1"/>
        </w:numPr>
        <w:jc w:val="left"/>
        <w:rPr>
          <w:sz w:val="32"/>
          <w:szCs w:val="24"/>
        </w:rPr>
      </w:pPr>
      <w:proofErr w:type="spellStart"/>
      <w:r w:rsidRPr="00E5519D">
        <w:rPr>
          <w:color w:val="222222"/>
          <w:sz w:val="24"/>
          <w:szCs w:val="20"/>
          <w:shd w:val="clear" w:color="auto" w:fill="FFFFFF"/>
          <w:lang w:val="en-US"/>
        </w:rPr>
        <w:t>Snegirev</w:t>
      </w:r>
      <w:proofErr w:type="spellEnd"/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 A. V., </w:t>
      </w:r>
      <w:proofErr w:type="spellStart"/>
      <w:r w:rsidRPr="00E5519D">
        <w:rPr>
          <w:color w:val="222222"/>
          <w:sz w:val="24"/>
          <w:szCs w:val="20"/>
          <w:shd w:val="clear" w:color="auto" w:fill="FFFFFF"/>
          <w:lang w:val="en-US"/>
        </w:rPr>
        <w:t>Kovalev</w:t>
      </w:r>
      <w:proofErr w:type="spellEnd"/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 V. M., </w:t>
      </w:r>
      <w:proofErr w:type="spellStart"/>
      <w:r w:rsidRPr="00E5519D">
        <w:rPr>
          <w:color w:val="222222"/>
          <w:sz w:val="24"/>
          <w:szCs w:val="20"/>
          <w:shd w:val="clear" w:color="auto" w:fill="FFFFFF"/>
          <w:lang w:val="en-US"/>
        </w:rPr>
        <w:t>Entin</w:t>
      </w:r>
      <w:proofErr w:type="spellEnd"/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 M. V. </w:t>
      </w:r>
      <w:proofErr w:type="spellStart"/>
      <w:r w:rsidRPr="00E5519D">
        <w:rPr>
          <w:color w:val="222222"/>
          <w:sz w:val="24"/>
          <w:szCs w:val="20"/>
          <w:shd w:val="clear" w:color="auto" w:fill="FFFFFF"/>
          <w:lang w:val="en-US"/>
        </w:rPr>
        <w:t>Photogalvanic</w:t>
      </w:r>
      <w:proofErr w:type="spellEnd"/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 effect induced by intervalley relaxation in a strained two-dimensional Dirac monolayer //Physical Review B. – 2024. – </w:t>
      </w:r>
      <w:bookmarkStart w:id="0" w:name="_GoBack"/>
      <w:bookmarkEnd w:id="0"/>
      <w:r w:rsidRPr="00E5519D">
        <w:rPr>
          <w:color w:val="222222"/>
          <w:sz w:val="24"/>
          <w:szCs w:val="20"/>
          <w:shd w:val="clear" w:color="auto" w:fill="FFFFFF"/>
        </w:rPr>
        <w:t>Т</w:t>
      </w:r>
      <w:r w:rsidRPr="00E5519D">
        <w:rPr>
          <w:color w:val="222222"/>
          <w:sz w:val="24"/>
          <w:szCs w:val="20"/>
          <w:shd w:val="clear" w:color="auto" w:fill="FFFFFF"/>
          <w:lang w:val="en-US"/>
        </w:rPr>
        <w:t xml:space="preserve">. 109. – №. </w:t>
      </w:r>
      <w:r w:rsidRPr="00E5519D">
        <w:rPr>
          <w:color w:val="222222"/>
          <w:sz w:val="24"/>
          <w:szCs w:val="20"/>
          <w:shd w:val="clear" w:color="auto" w:fill="FFFFFF"/>
        </w:rPr>
        <w:t>8. – С. 085422.</w:t>
      </w:r>
    </w:p>
    <w:sectPr w:rsidR="00E5519D" w:rsidRPr="00E5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2EF"/>
    <w:multiLevelType w:val="hybridMultilevel"/>
    <w:tmpl w:val="50648FBE"/>
    <w:lvl w:ilvl="0" w:tplc="FA74C47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6D"/>
    <w:rsid w:val="00145F0A"/>
    <w:rsid w:val="00303194"/>
    <w:rsid w:val="003933D0"/>
    <w:rsid w:val="005832CB"/>
    <w:rsid w:val="0067226D"/>
    <w:rsid w:val="007C55DC"/>
    <w:rsid w:val="00856084"/>
    <w:rsid w:val="00AC1FEF"/>
    <w:rsid w:val="00E36D21"/>
    <w:rsid w:val="00E5519D"/>
    <w:rsid w:val="00F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0583"/>
  <w15:chartTrackingRefBased/>
  <w15:docId w15:val="{8779F127-6565-4538-B84E-86D0A955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226D"/>
    <w:pPr>
      <w:spacing w:after="0" w:line="240" w:lineRule="auto"/>
      <w:ind w:firstLine="284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3D0"/>
    <w:pPr>
      <w:ind w:left="720"/>
    </w:pPr>
  </w:style>
  <w:style w:type="character" w:styleId="Hyperlink">
    <w:name w:val="Hyperlink"/>
    <w:uiPriority w:val="99"/>
    <w:unhideWhenUsed/>
    <w:rsid w:val="00E55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2024-02-28T20:54:00Z</dcterms:created>
  <dcterms:modified xsi:type="dcterms:W3CDTF">2024-02-29T20:23:00Z</dcterms:modified>
</cp:coreProperties>
</file>