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B1081B1" w:rsidR="00130241" w:rsidRDefault="005F27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Повышение коррозионной стойкости </w:t>
      </w:r>
      <w:r w:rsidR="00D73E27">
        <w:rPr>
          <w:b/>
          <w:color w:val="000000"/>
        </w:rPr>
        <w:t xml:space="preserve">оксидно-керамического покрытия </w:t>
      </w:r>
      <w:r w:rsidR="00384F9F">
        <w:rPr>
          <w:b/>
          <w:color w:val="000000"/>
        </w:rPr>
        <w:br/>
      </w:r>
      <w:r w:rsidR="00D73E27" w:rsidRPr="00D73E27">
        <w:rPr>
          <w:b/>
          <w:bCs/>
          <w:color w:val="000000"/>
        </w:rPr>
        <w:t>B</w:t>
      </w:r>
      <w:r w:rsidR="00D73E27" w:rsidRPr="00D73E27">
        <w:rPr>
          <w:b/>
          <w:bCs/>
          <w:color w:val="000000"/>
          <w:vertAlign w:val="subscript"/>
        </w:rPr>
        <w:t>4</w:t>
      </w:r>
      <w:r w:rsidR="00D73E27" w:rsidRPr="00D73E27">
        <w:rPr>
          <w:b/>
          <w:bCs/>
          <w:color w:val="000000"/>
        </w:rPr>
        <w:t>C-BN-Bi</w:t>
      </w:r>
      <w:r w:rsidR="00D73E27" w:rsidRPr="00D73E27">
        <w:rPr>
          <w:b/>
          <w:bCs/>
          <w:color w:val="000000"/>
          <w:vertAlign w:val="subscript"/>
        </w:rPr>
        <w:t>2</w:t>
      </w:r>
      <w:r w:rsidR="00D73E27" w:rsidRPr="00D73E27">
        <w:rPr>
          <w:b/>
          <w:bCs/>
          <w:color w:val="000000"/>
        </w:rPr>
        <w:t>O</w:t>
      </w:r>
      <w:r w:rsidR="00D73E27" w:rsidRPr="00D73E27">
        <w:rPr>
          <w:b/>
          <w:bCs/>
          <w:color w:val="000000"/>
          <w:vertAlign w:val="subscript"/>
        </w:rPr>
        <w:t>3</w:t>
      </w:r>
      <w:r w:rsidR="00D73E27" w:rsidRPr="00D73E27">
        <w:rPr>
          <w:b/>
          <w:bCs/>
          <w:color w:val="000000"/>
        </w:rPr>
        <w:t>-MnO</w:t>
      </w:r>
      <w:r w:rsidR="00D73E27" w:rsidRPr="00D73E27">
        <w:rPr>
          <w:b/>
          <w:bCs/>
          <w:color w:val="000000"/>
          <w:vertAlign w:val="subscript"/>
        </w:rPr>
        <w:t>2</w:t>
      </w:r>
      <w:r w:rsidR="00A7387F" w:rsidRPr="00D73E27">
        <w:rPr>
          <w:b/>
          <w:color w:val="000000"/>
        </w:rPr>
        <w:t xml:space="preserve"> </w:t>
      </w:r>
      <w:r w:rsidR="00D73E27">
        <w:rPr>
          <w:b/>
          <w:color w:val="000000"/>
        </w:rPr>
        <w:t xml:space="preserve">на нелегированной стали </w:t>
      </w:r>
      <w:r w:rsidR="00A7387F">
        <w:rPr>
          <w:b/>
          <w:color w:val="000000"/>
        </w:rPr>
        <w:t xml:space="preserve">в </w:t>
      </w:r>
      <w:r w:rsidR="00EA4953">
        <w:rPr>
          <w:b/>
          <w:color w:val="000000"/>
        </w:rPr>
        <w:t>среде нейтрального боратно</w:t>
      </w:r>
      <w:r w:rsidR="00D73E27">
        <w:rPr>
          <w:b/>
          <w:color w:val="000000"/>
        </w:rPr>
        <w:t>го буферного раствора</w:t>
      </w:r>
    </w:p>
    <w:p w14:paraId="00000002" w14:textId="45BB553C" w:rsidR="00130241" w:rsidRDefault="005F27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Тюкалов</w:t>
      </w:r>
      <w:proofErr w:type="spellEnd"/>
      <w:r>
        <w:rPr>
          <w:b/>
          <w:i/>
          <w:color w:val="000000"/>
        </w:rPr>
        <w:t xml:space="preserve"> А.В., </w:t>
      </w:r>
      <w:proofErr w:type="spellStart"/>
      <w:r>
        <w:rPr>
          <w:b/>
          <w:i/>
          <w:color w:val="000000"/>
        </w:rPr>
        <w:t>Газизянова</w:t>
      </w:r>
      <w:proofErr w:type="spellEnd"/>
      <w:r>
        <w:rPr>
          <w:b/>
          <w:i/>
          <w:color w:val="000000"/>
        </w:rPr>
        <w:t xml:space="preserve"> </w:t>
      </w:r>
      <w:r w:rsidR="00D73E27">
        <w:rPr>
          <w:b/>
          <w:i/>
          <w:color w:val="000000"/>
        </w:rPr>
        <w:t>А.Р.</w:t>
      </w:r>
      <w:r>
        <w:rPr>
          <w:b/>
          <w:i/>
          <w:color w:val="000000"/>
        </w:rPr>
        <w:t>, Широбокова А.С.</w:t>
      </w:r>
    </w:p>
    <w:p w14:paraId="00000003" w14:textId="7199391C" w:rsidR="00130241" w:rsidRDefault="005F27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00000007" w14:textId="418E5BF6" w:rsidR="00130241" w:rsidRPr="005E1F84" w:rsidRDefault="005F2706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Удмуртский государственный университет, и</w:t>
      </w:r>
      <w:r w:rsidRPr="005F2706">
        <w:rPr>
          <w:i/>
          <w:color w:val="000000"/>
        </w:rPr>
        <w:t>нститут математики, информационных технологий и физики</w:t>
      </w:r>
      <w:r>
        <w:rPr>
          <w:i/>
          <w:color w:val="000000"/>
        </w:rPr>
        <w:t>, Ижевск, Россия</w:t>
      </w:r>
    </w:p>
    <w:p w14:paraId="00000008" w14:textId="0663833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5F2706" w:rsidRPr="00EA4953">
        <w:rPr>
          <w:i/>
          <w:color w:val="000000"/>
        </w:rPr>
        <w:t xml:space="preserve"> </w:t>
      </w:r>
      <w:hyperlink r:id="rId6" w:history="1">
        <w:r w:rsidR="00EA4953" w:rsidRPr="001D5AB2">
          <w:rPr>
            <w:rStyle w:val="a9"/>
            <w:i/>
            <w:lang w:val="en-US"/>
          </w:rPr>
          <w:t>teentyk</w:t>
        </w:r>
        <w:r w:rsidR="00EA4953" w:rsidRPr="001D5AB2">
          <w:rPr>
            <w:rStyle w:val="a9"/>
            <w:i/>
          </w:rPr>
          <w:t>@</w:t>
        </w:r>
        <w:r w:rsidR="00EA4953" w:rsidRPr="001D5AB2">
          <w:rPr>
            <w:rStyle w:val="a9"/>
            <w:i/>
            <w:lang w:val="en-US"/>
          </w:rPr>
          <w:t>mail</w:t>
        </w:r>
        <w:r w:rsidR="00EA4953" w:rsidRPr="001D5AB2">
          <w:rPr>
            <w:rStyle w:val="a9"/>
            <w:i/>
          </w:rPr>
          <w:t>.</w:t>
        </w:r>
        <w:r w:rsidR="00EA4953" w:rsidRPr="001D5AB2">
          <w:rPr>
            <w:rStyle w:val="a9"/>
            <w:i/>
            <w:lang w:val="en-US"/>
          </w:rPr>
          <w:t>ru</w:t>
        </w:r>
      </w:hyperlink>
    </w:p>
    <w:p w14:paraId="19FB7287" w14:textId="03CA2E46" w:rsidR="0067073D" w:rsidRDefault="00AA3E80" w:rsidP="00AA3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Cs/>
          <w:color w:val="000000"/>
        </w:rPr>
        <w:t>Для обеспечения работы механизмов, содержащих узлы трения, требуются материалы, которые сочетают в себе такие качества</w:t>
      </w:r>
      <w:r w:rsidR="0067073D">
        <w:rPr>
          <w:iCs/>
          <w:color w:val="000000"/>
        </w:rPr>
        <w:t>,</w:t>
      </w:r>
      <w:r>
        <w:rPr>
          <w:iCs/>
          <w:color w:val="000000"/>
        </w:rPr>
        <w:t xml:space="preserve"> как износостойкость и низкий коэффициент трения. </w:t>
      </w:r>
      <w:r w:rsidR="005E1F84">
        <w:rPr>
          <w:iCs/>
          <w:color w:val="000000"/>
        </w:rPr>
        <w:t>Такими материалами, отвечающими</w:t>
      </w:r>
      <w:r>
        <w:rPr>
          <w:iCs/>
          <w:color w:val="000000"/>
        </w:rPr>
        <w:t xml:space="preserve"> данным требованиям, являются оксидно-керамические покрытия. О</w:t>
      </w:r>
      <w:r w:rsidR="005E1F84">
        <w:rPr>
          <w:iCs/>
          <w:color w:val="000000"/>
        </w:rPr>
        <w:t>дним из способов их нанесения</w:t>
      </w:r>
      <w:r w:rsidR="0067073D">
        <w:rPr>
          <w:iCs/>
          <w:color w:val="000000"/>
        </w:rPr>
        <w:t xml:space="preserve"> является метод лазерно</w:t>
      </w:r>
      <w:r w:rsidR="00B27D7D">
        <w:rPr>
          <w:iCs/>
          <w:color w:val="000000"/>
        </w:rPr>
        <w:t xml:space="preserve">го наплавления </w:t>
      </w:r>
      <w:r w:rsidR="0067073D">
        <w:rPr>
          <w:iCs/>
          <w:color w:val="000000"/>
        </w:rPr>
        <w:t xml:space="preserve">смеси порошков. Однако </w:t>
      </w:r>
      <w:r w:rsidR="003A0BDF">
        <w:rPr>
          <w:iCs/>
          <w:color w:val="000000"/>
        </w:rPr>
        <w:t>это</w:t>
      </w:r>
      <w:r w:rsidR="0067073D">
        <w:rPr>
          <w:iCs/>
          <w:color w:val="000000"/>
        </w:rPr>
        <w:t xml:space="preserve"> может привести к снижению коррозионной стойкости материала </w:t>
      </w:r>
      <w:r w:rsidR="0067073D" w:rsidRPr="0067073D">
        <w:rPr>
          <w:iCs/>
          <w:color w:val="000000"/>
        </w:rPr>
        <w:t>[</w:t>
      </w:r>
      <w:r w:rsidR="005B56C0">
        <w:rPr>
          <w:iCs/>
          <w:color w:val="000000"/>
        </w:rPr>
        <w:t>1</w:t>
      </w:r>
      <w:r w:rsidR="0067073D" w:rsidRPr="0067073D">
        <w:rPr>
          <w:iCs/>
          <w:color w:val="000000"/>
        </w:rPr>
        <w:t>]</w:t>
      </w:r>
      <w:r w:rsidR="0067073D">
        <w:rPr>
          <w:iCs/>
          <w:color w:val="000000"/>
        </w:rPr>
        <w:t>. Целью данной работы являл</w:t>
      </w:r>
      <w:r w:rsidR="0017122C">
        <w:rPr>
          <w:iCs/>
          <w:color w:val="000000"/>
        </w:rPr>
        <w:t>ся поиск методов повышения</w:t>
      </w:r>
      <w:r w:rsidR="00B27D7D">
        <w:rPr>
          <w:iCs/>
          <w:color w:val="000000"/>
        </w:rPr>
        <w:t xml:space="preserve"> коррозионной стойкости </w:t>
      </w:r>
      <w:r w:rsidR="003A0BDF">
        <w:rPr>
          <w:iCs/>
          <w:color w:val="000000"/>
        </w:rPr>
        <w:t xml:space="preserve">оксидно-керамического </w:t>
      </w:r>
      <w:r w:rsidR="00B27D7D">
        <w:rPr>
          <w:iCs/>
          <w:color w:val="000000"/>
        </w:rPr>
        <w:t xml:space="preserve">покрытия </w:t>
      </w:r>
      <w:r w:rsidR="00384F9F">
        <w:rPr>
          <w:iCs/>
          <w:color w:val="000000"/>
        </w:rPr>
        <w:br/>
      </w:r>
      <w:r w:rsidR="00B27D7D" w:rsidRPr="00D73E27">
        <w:rPr>
          <w:color w:val="000000"/>
        </w:rPr>
        <w:t>B</w:t>
      </w:r>
      <w:r w:rsidR="00B27D7D" w:rsidRPr="00D73E27">
        <w:rPr>
          <w:color w:val="000000"/>
          <w:vertAlign w:val="subscript"/>
        </w:rPr>
        <w:t>4</w:t>
      </w:r>
      <w:r w:rsidR="00B27D7D" w:rsidRPr="00D73E27">
        <w:rPr>
          <w:color w:val="000000"/>
        </w:rPr>
        <w:t>C-BN-Bi</w:t>
      </w:r>
      <w:r w:rsidR="00B27D7D" w:rsidRPr="00D73E27">
        <w:rPr>
          <w:color w:val="000000"/>
          <w:vertAlign w:val="subscript"/>
        </w:rPr>
        <w:t>2</w:t>
      </w:r>
      <w:r w:rsidR="00B27D7D" w:rsidRPr="00D73E27">
        <w:rPr>
          <w:color w:val="000000"/>
        </w:rPr>
        <w:t>O</w:t>
      </w:r>
      <w:r w:rsidR="00B27D7D" w:rsidRPr="00D73E27">
        <w:rPr>
          <w:color w:val="000000"/>
          <w:vertAlign w:val="subscript"/>
        </w:rPr>
        <w:t>3</w:t>
      </w:r>
      <w:r w:rsidR="00B27D7D" w:rsidRPr="00D73E27">
        <w:rPr>
          <w:color w:val="000000"/>
        </w:rPr>
        <w:t>-MnO</w:t>
      </w:r>
      <w:r w:rsidR="00B27D7D" w:rsidRPr="00D73E27">
        <w:rPr>
          <w:color w:val="000000"/>
          <w:vertAlign w:val="subscript"/>
        </w:rPr>
        <w:t>2</w:t>
      </w:r>
      <w:r w:rsidR="00993C13">
        <w:rPr>
          <w:color w:val="000000"/>
          <w:vertAlign w:val="subscript"/>
        </w:rPr>
        <w:t xml:space="preserve"> </w:t>
      </w:r>
      <w:r w:rsidR="00993C13">
        <w:rPr>
          <w:color w:val="000000"/>
        </w:rPr>
        <w:t>на стали 10</w:t>
      </w:r>
      <w:r w:rsidR="00B27D7D">
        <w:rPr>
          <w:color w:val="000000"/>
          <w:vertAlign w:val="subscript"/>
        </w:rPr>
        <w:t xml:space="preserve"> </w:t>
      </w:r>
      <w:r w:rsidR="00B27D7D">
        <w:rPr>
          <w:color w:val="000000"/>
        </w:rPr>
        <w:t>в среде нейтрального буферного раствора.</w:t>
      </w:r>
    </w:p>
    <w:p w14:paraId="31185B95" w14:textId="4A38BAED" w:rsidR="00B27D7D" w:rsidRPr="008415C4" w:rsidRDefault="003A0BDF" w:rsidP="00B27D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415C4">
        <w:t>П</w:t>
      </w:r>
      <w:r w:rsidR="00B27D7D" w:rsidRPr="008415C4">
        <w:t xml:space="preserve">окрытие синтезировали на поверхности образцов стали 10 с </w:t>
      </w:r>
      <w:r w:rsidRPr="008415C4">
        <w:t>площадью 1 см</w:t>
      </w:r>
      <w:r w:rsidRPr="008415C4">
        <w:rPr>
          <w:vertAlign w:val="superscript"/>
        </w:rPr>
        <w:t>2</w:t>
      </w:r>
      <w:r w:rsidRPr="008415C4">
        <w:rPr>
          <w:vertAlign w:val="subscript"/>
        </w:rPr>
        <w:t xml:space="preserve"> </w:t>
      </w:r>
      <w:r w:rsidRPr="008415C4">
        <w:t>путем</w:t>
      </w:r>
      <w:r w:rsidR="00B27D7D" w:rsidRPr="008415C4">
        <w:t xml:space="preserve"> лазерной обработки смеси порошков</w:t>
      </w:r>
      <w:r w:rsidR="00993C13" w:rsidRPr="008415C4">
        <w:t xml:space="preserve">. </w:t>
      </w:r>
      <w:r w:rsidR="00B27D7D" w:rsidRPr="008415C4">
        <w:t xml:space="preserve">Поляризацию образцов проводили при скорости изменения потенциала 1 мВ/с в среде боратного буферного раствора </w:t>
      </w:r>
      <w:r w:rsidR="00B27D7D" w:rsidRPr="008415C4">
        <w:rPr>
          <w:lang w:val="en-US"/>
        </w:rPr>
        <w:t>pH</w:t>
      </w:r>
      <w:r w:rsidR="00B27D7D" w:rsidRPr="008415C4">
        <w:t xml:space="preserve"> = 7,4 при температуре (20±2) °C</w:t>
      </w:r>
      <w:r w:rsidR="002D672D" w:rsidRPr="008415C4">
        <w:t xml:space="preserve">. Для повышения коррозионной стойкости применяли обработку материала смесевым ингибитором октановая кислота – </w:t>
      </w:r>
      <w:proofErr w:type="gramStart"/>
      <w:r w:rsidR="002D672D" w:rsidRPr="008415C4">
        <w:t>гидразин-гидрат</w:t>
      </w:r>
      <w:proofErr w:type="gramEnd"/>
      <w:r w:rsidR="002D672D" w:rsidRPr="008415C4">
        <w:t xml:space="preserve"> и предварительное электрохимическое </w:t>
      </w:r>
      <w:proofErr w:type="spellStart"/>
      <w:r w:rsidR="002D672D" w:rsidRPr="008415C4">
        <w:t>циклирование</w:t>
      </w:r>
      <w:proofErr w:type="spellEnd"/>
      <w:r w:rsidR="002D672D" w:rsidRPr="008415C4">
        <w:t xml:space="preserve"> образца в течение одного цикла в интервале -700…+1</w:t>
      </w:r>
      <w:r w:rsidR="005B56C0" w:rsidRPr="008415C4">
        <w:t>1</w:t>
      </w:r>
      <w:r w:rsidR="002D672D" w:rsidRPr="008415C4">
        <w:t xml:space="preserve">00 мВ. На рисунке представлены анодные </w:t>
      </w:r>
      <w:proofErr w:type="spellStart"/>
      <w:r w:rsidR="002D672D" w:rsidRPr="008415C4">
        <w:t>потенциодинамические</w:t>
      </w:r>
      <w:proofErr w:type="spellEnd"/>
      <w:r w:rsidR="002D672D" w:rsidRPr="008415C4">
        <w:t xml:space="preserve"> </w:t>
      </w:r>
      <w:r w:rsidR="009A3FB7" w:rsidRPr="008415C4">
        <w:t>кривые исследуемых образцов.</w:t>
      </w:r>
    </w:p>
    <w:p w14:paraId="3D7781BF" w14:textId="7FF9E6CE" w:rsidR="003E3A23" w:rsidRDefault="003E3A23" w:rsidP="00A738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7FA11D0F" wp14:editId="5D199D3B">
            <wp:extent cx="1981499" cy="1271958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5" t="10001" r="10781" b="5187"/>
                    <a:stretch/>
                  </pic:blipFill>
                  <pic:spPr bwMode="auto">
                    <a:xfrm>
                      <a:off x="0" y="0"/>
                      <a:ext cx="2043794" cy="13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A9E98" w14:textId="21F56BB8" w:rsidR="00EA4953" w:rsidRDefault="00EA4953" w:rsidP="00A738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</w:t>
      </w:r>
      <w:r w:rsidR="008415C4">
        <w:rPr>
          <w:color w:val="000000"/>
        </w:rPr>
        <w:t>1.</w:t>
      </w:r>
      <w:r>
        <w:rPr>
          <w:color w:val="000000"/>
        </w:rPr>
        <w:t xml:space="preserve"> </w:t>
      </w:r>
      <w:r w:rsidR="00D73E27">
        <w:rPr>
          <w:color w:val="000000"/>
        </w:rPr>
        <w:t xml:space="preserve">Кривые анодной </w:t>
      </w:r>
      <w:proofErr w:type="spellStart"/>
      <w:r w:rsidR="00D73E27">
        <w:rPr>
          <w:color w:val="000000"/>
        </w:rPr>
        <w:t>потенциодинамической</w:t>
      </w:r>
      <w:proofErr w:type="spellEnd"/>
      <w:r w:rsidR="00D73E27">
        <w:rPr>
          <w:color w:val="000000"/>
        </w:rPr>
        <w:t xml:space="preserve"> поляризации: 1 – сталь 10</w:t>
      </w:r>
      <w:r w:rsidR="002D672D">
        <w:rPr>
          <w:color w:val="000000"/>
        </w:rPr>
        <w:t>;</w:t>
      </w:r>
      <w:r w:rsidR="00D73E27">
        <w:rPr>
          <w:color w:val="000000"/>
        </w:rPr>
        <w:t xml:space="preserve"> 2 – сталь 10 с покрытием</w:t>
      </w:r>
      <w:r w:rsidR="002D672D">
        <w:rPr>
          <w:color w:val="000000"/>
        </w:rPr>
        <w:t>;</w:t>
      </w:r>
      <w:r w:rsidR="00D73E27">
        <w:rPr>
          <w:color w:val="000000"/>
        </w:rPr>
        <w:t xml:space="preserve"> 3 – сталь 10 с покрытием и </w:t>
      </w:r>
      <w:r w:rsidR="002D672D">
        <w:rPr>
          <w:color w:val="000000"/>
        </w:rPr>
        <w:t xml:space="preserve">ингибиторной обработкой; 4 – сталь 10 с покрытием </w:t>
      </w:r>
      <w:r w:rsidR="009A3FB7">
        <w:rPr>
          <w:color w:val="000000"/>
        </w:rPr>
        <w:t xml:space="preserve">и предварительным электрохимическим </w:t>
      </w:r>
      <w:proofErr w:type="spellStart"/>
      <w:r w:rsidR="009A3FB7">
        <w:rPr>
          <w:color w:val="000000"/>
        </w:rPr>
        <w:t>циклированием</w:t>
      </w:r>
      <w:proofErr w:type="spellEnd"/>
      <w:r w:rsidR="009A3FB7">
        <w:rPr>
          <w:color w:val="000000"/>
        </w:rPr>
        <w:t>.</w:t>
      </w:r>
    </w:p>
    <w:p w14:paraId="1C7BEB27" w14:textId="601E06D8" w:rsidR="003E3A23" w:rsidRPr="008415C4" w:rsidRDefault="005B56C0" w:rsidP="003E3A23">
      <w:pPr>
        <w:ind w:firstLine="709"/>
        <w:jc w:val="both"/>
      </w:pPr>
      <w:r w:rsidRPr="008415C4">
        <w:t xml:space="preserve">Нанесение </w:t>
      </w:r>
      <w:r w:rsidR="00993C13" w:rsidRPr="008415C4">
        <w:t>такого</w:t>
      </w:r>
      <w:r w:rsidRPr="008415C4">
        <w:t xml:space="preserve"> покрытия приводит к увеличению тока анодного растворения в пассивном состоянии. Однако ингибиторная обработка </w:t>
      </w:r>
      <w:r w:rsidR="003A0BDF" w:rsidRPr="008415C4">
        <w:t>данного</w:t>
      </w:r>
      <w:r w:rsidRPr="008415C4">
        <w:t xml:space="preserve"> материала и предварительное электрохимическое </w:t>
      </w:r>
      <w:proofErr w:type="spellStart"/>
      <w:r w:rsidRPr="008415C4">
        <w:t>циклирование</w:t>
      </w:r>
      <w:proofErr w:type="spellEnd"/>
      <w:r w:rsidRPr="008415C4">
        <w:t xml:space="preserve"> приводит к уменьшению тока анодного растворения в области пассивного состояния до уровня необработанной стали 10, а ингибиторная обработка также приводит к увеличению </w:t>
      </w:r>
      <w:r w:rsidR="00993C13" w:rsidRPr="008415C4">
        <w:t xml:space="preserve">потенциала </w:t>
      </w:r>
      <w:proofErr w:type="spellStart"/>
      <w:r w:rsidR="00993C13" w:rsidRPr="008415C4">
        <w:t>перепассивации</w:t>
      </w:r>
      <w:proofErr w:type="spellEnd"/>
      <w:r w:rsidR="00993C13" w:rsidRPr="008415C4">
        <w:t xml:space="preserve">. Таким образом, результаты работы показывают, что исследуемые методы обработки оксидно-керамического покрытия повышают </w:t>
      </w:r>
      <w:r w:rsidR="003A0BDF" w:rsidRPr="008415C4">
        <w:t xml:space="preserve">его </w:t>
      </w:r>
      <w:r w:rsidR="00993C13" w:rsidRPr="008415C4">
        <w:t>коррозионную стойкость к электрохимической коррозии и могут быть применены для продления срока службы данного материала.</w:t>
      </w:r>
    </w:p>
    <w:p w14:paraId="22830DFF" w14:textId="679B32CA" w:rsidR="003E3A23" w:rsidRPr="008415C4" w:rsidRDefault="003E3A23" w:rsidP="009A3FB7">
      <w:pPr>
        <w:ind w:firstLine="709"/>
        <w:jc w:val="both"/>
        <w:rPr>
          <w:i/>
          <w:iCs/>
        </w:rPr>
      </w:pPr>
      <w:r w:rsidRPr="008415C4">
        <w:rPr>
          <w:b/>
          <w:bCs/>
          <w:i/>
          <w:iCs/>
        </w:rPr>
        <w:t>Благодарности.</w:t>
      </w:r>
      <w:r w:rsidRPr="008415C4">
        <w:rPr>
          <w:i/>
          <w:iCs/>
        </w:rPr>
        <w:t xml:space="preserve"> Авторы выражают благодарность Российскому научному фонду за финансовую поддержку (проект №19-79-20012).</w:t>
      </w:r>
    </w:p>
    <w:p w14:paraId="1DFF5C69" w14:textId="69889F38" w:rsidR="003E3A23" w:rsidRPr="008415C4" w:rsidRDefault="00EB1F49" w:rsidP="00EA49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8415C4">
        <w:rPr>
          <w:b/>
          <w:color w:val="000000"/>
        </w:rPr>
        <w:t>Литература</w:t>
      </w:r>
    </w:p>
    <w:p w14:paraId="3486C755" w14:textId="0B0393C6" w:rsidR="00116478" w:rsidRDefault="005B56C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8415C4">
        <w:rPr>
          <w:color w:val="000000"/>
          <w:lang w:val="en-US"/>
        </w:rPr>
        <w:t>1</w:t>
      </w:r>
      <w:r w:rsidR="00DE2711" w:rsidRPr="008415C4">
        <w:rPr>
          <w:color w:val="000000"/>
          <w:lang w:val="en-US"/>
        </w:rPr>
        <w:t xml:space="preserve">. </w:t>
      </w:r>
      <w:proofErr w:type="spellStart"/>
      <w:r w:rsidR="000C66DE" w:rsidRPr="008415C4">
        <w:rPr>
          <w:color w:val="000000"/>
          <w:lang w:val="en-US"/>
        </w:rPr>
        <w:t>Reshetnikov</w:t>
      </w:r>
      <w:proofErr w:type="spellEnd"/>
      <w:r w:rsidR="000C66DE" w:rsidRPr="008415C4">
        <w:rPr>
          <w:color w:val="000000"/>
          <w:lang w:val="en-US"/>
        </w:rPr>
        <w:t>, S. M. Effect of octanoic acid-based inhibitors on the corrosion and electrochemical properties of oxide-ceramic coatings B</w:t>
      </w:r>
      <w:r w:rsidR="000C66DE" w:rsidRPr="008415C4">
        <w:rPr>
          <w:color w:val="000000"/>
          <w:vertAlign w:val="subscript"/>
          <w:lang w:val="en-US"/>
        </w:rPr>
        <w:t>4</w:t>
      </w:r>
      <w:r w:rsidR="000C66DE" w:rsidRPr="008415C4">
        <w:rPr>
          <w:color w:val="000000"/>
          <w:lang w:val="en-US"/>
        </w:rPr>
        <w:t>C–BN–Bi</w:t>
      </w:r>
      <w:r w:rsidR="000C66DE" w:rsidRPr="008415C4">
        <w:rPr>
          <w:color w:val="000000"/>
          <w:vertAlign w:val="subscript"/>
          <w:lang w:val="en-US"/>
        </w:rPr>
        <w:t>2</w:t>
      </w:r>
      <w:r w:rsidR="000C66DE" w:rsidRPr="008415C4">
        <w:rPr>
          <w:color w:val="000000"/>
          <w:lang w:val="en-US"/>
        </w:rPr>
        <w:t>O</w:t>
      </w:r>
      <w:r w:rsidR="000C66DE" w:rsidRPr="008415C4">
        <w:rPr>
          <w:color w:val="000000"/>
          <w:vertAlign w:val="subscript"/>
          <w:lang w:val="en-US"/>
        </w:rPr>
        <w:t>3</w:t>
      </w:r>
      <w:r w:rsidR="000C66DE" w:rsidRPr="008415C4">
        <w:rPr>
          <w:color w:val="000000"/>
          <w:lang w:val="en-US"/>
        </w:rPr>
        <w:t>–MnO</w:t>
      </w:r>
      <w:r w:rsidR="000C66DE" w:rsidRPr="008415C4">
        <w:rPr>
          <w:color w:val="000000"/>
          <w:vertAlign w:val="subscript"/>
          <w:lang w:val="en-US"/>
        </w:rPr>
        <w:t>2</w:t>
      </w:r>
      <w:r w:rsidR="000C66DE" w:rsidRPr="008415C4">
        <w:rPr>
          <w:color w:val="000000"/>
          <w:lang w:val="en-US"/>
        </w:rPr>
        <w:t xml:space="preserve"> on unalloyed steel</w:t>
      </w:r>
      <w:r w:rsidR="00EA4953" w:rsidRPr="008415C4">
        <w:rPr>
          <w:color w:val="000000"/>
          <w:lang w:val="en-US"/>
        </w:rPr>
        <w:t xml:space="preserve"> / S. M. </w:t>
      </w:r>
      <w:proofErr w:type="spellStart"/>
      <w:r w:rsidR="00EA4953" w:rsidRPr="008415C4">
        <w:rPr>
          <w:color w:val="000000"/>
          <w:lang w:val="en-US"/>
        </w:rPr>
        <w:t>Reshetnikov</w:t>
      </w:r>
      <w:proofErr w:type="spellEnd"/>
      <w:r w:rsidR="00EA4953" w:rsidRPr="008415C4">
        <w:rPr>
          <w:color w:val="000000"/>
          <w:lang w:val="en-US"/>
        </w:rPr>
        <w:t xml:space="preserve">, A. V. </w:t>
      </w:r>
      <w:proofErr w:type="spellStart"/>
      <w:r w:rsidR="00EA4953" w:rsidRPr="008415C4">
        <w:rPr>
          <w:color w:val="000000"/>
          <w:lang w:val="en-US"/>
        </w:rPr>
        <w:t>Tyukalov</w:t>
      </w:r>
      <w:proofErr w:type="spellEnd"/>
      <w:r w:rsidR="00EA4953" w:rsidRPr="008415C4">
        <w:rPr>
          <w:color w:val="000000"/>
          <w:lang w:val="en-US"/>
        </w:rPr>
        <w:t xml:space="preserve">, E. V. </w:t>
      </w:r>
      <w:proofErr w:type="spellStart"/>
      <w:r w:rsidR="00EA4953" w:rsidRPr="008415C4">
        <w:rPr>
          <w:lang w:val="en-US"/>
        </w:rPr>
        <w:t>Kharanzhevskiy</w:t>
      </w:r>
      <w:proofErr w:type="spellEnd"/>
      <w:r w:rsidR="00EA4953" w:rsidRPr="008415C4">
        <w:rPr>
          <w:lang w:val="en-US"/>
        </w:rPr>
        <w:t xml:space="preserve"> // Int. J. </w:t>
      </w:r>
      <w:proofErr w:type="spellStart"/>
      <w:r w:rsidR="00EA4953" w:rsidRPr="008415C4">
        <w:rPr>
          <w:lang w:val="en-US"/>
        </w:rPr>
        <w:t>Corros</w:t>
      </w:r>
      <w:proofErr w:type="spellEnd"/>
      <w:r w:rsidR="00EA4953" w:rsidRPr="008415C4">
        <w:rPr>
          <w:lang w:val="en-US"/>
        </w:rPr>
        <w:t xml:space="preserve">. </w:t>
      </w:r>
      <w:r w:rsidR="00EA4953" w:rsidRPr="00384F9F">
        <w:rPr>
          <w:lang w:val="en-US"/>
        </w:rPr>
        <w:t xml:space="preserve">Scale </w:t>
      </w:r>
      <w:proofErr w:type="spellStart"/>
      <w:r w:rsidR="00EA4953" w:rsidRPr="00384F9F">
        <w:rPr>
          <w:lang w:val="en-US"/>
        </w:rPr>
        <w:t>Inhib</w:t>
      </w:r>
      <w:proofErr w:type="spellEnd"/>
      <w:r w:rsidR="00EA4953" w:rsidRPr="00384F9F">
        <w:rPr>
          <w:lang w:val="en-US"/>
        </w:rPr>
        <w:t xml:space="preserve">. – 2024. – </w:t>
      </w:r>
      <w:r w:rsidR="00EA4953" w:rsidRPr="008415C4">
        <w:rPr>
          <w:lang w:val="en-US"/>
        </w:rPr>
        <w:t>T</w:t>
      </w:r>
      <w:r w:rsidR="00EA4953" w:rsidRPr="00384F9F">
        <w:rPr>
          <w:lang w:val="en-US"/>
        </w:rPr>
        <w:t xml:space="preserve">. 13 – №. 1. – </w:t>
      </w:r>
      <w:r w:rsidR="00EA4953" w:rsidRPr="008415C4">
        <w:rPr>
          <w:lang w:val="en-US"/>
        </w:rPr>
        <w:t>C</w:t>
      </w:r>
      <w:r w:rsidR="00EA4953" w:rsidRPr="00384F9F">
        <w:rPr>
          <w:lang w:val="en-US"/>
        </w:rPr>
        <w:t>. 3</w:t>
      </w:r>
      <w:r w:rsidR="00EA4953" w:rsidRPr="008415C4">
        <w:rPr>
          <w:lang w:val="en-US"/>
        </w:rPr>
        <w:t>57-366.</w:t>
      </w:r>
    </w:p>
    <w:p w14:paraId="2348D159" w14:textId="77777777" w:rsidR="00384F9F" w:rsidRPr="008415C4" w:rsidRDefault="00384F9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</w:p>
    <w:sectPr w:rsidR="00384F9F" w:rsidRPr="008415C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C66DE"/>
    <w:rsid w:val="00101A1C"/>
    <w:rsid w:val="00103657"/>
    <w:rsid w:val="00106375"/>
    <w:rsid w:val="00116478"/>
    <w:rsid w:val="00130241"/>
    <w:rsid w:val="0017122C"/>
    <w:rsid w:val="001E61C2"/>
    <w:rsid w:val="001F0493"/>
    <w:rsid w:val="002264EE"/>
    <w:rsid w:val="0023307C"/>
    <w:rsid w:val="002D672D"/>
    <w:rsid w:val="0031361E"/>
    <w:rsid w:val="00384F9F"/>
    <w:rsid w:val="00391C38"/>
    <w:rsid w:val="003A0BDF"/>
    <w:rsid w:val="003B76D6"/>
    <w:rsid w:val="003E3A23"/>
    <w:rsid w:val="004A26A3"/>
    <w:rsid w:val="004F0EDF"/>
    <w:rsid w:val="00522BF1"/>
    <w:rsid w:val="00590166"/>
    <w:rsid w:val="005B56C0"/>
    <w:rsid w:val="005D022B"/>
    <w:rsid w:val="005E1F84"/>
    <w:rsid w:val="005E5BE9"/>
    <w:rsid w:val="005F2706"/>
    <w:rsid w:val="00635B03"/>
    <w:rsid w:val="0067073D"/>
    <w:rsid w:val="0069427D"/>
    <w:rsid w:val="006F7A19"/>
    <w:rsid w:val="007213E1"/>
    <w:rsid w:val="00775389"/>
    <w:rsid w:val="00797838"/>
    <w:rsid w:val="007C36D8"/>
    <w:rsid w:val="007F2744"/>
    <w:rsid w:val="008415C4"/>
    <w:rsid w:val="00855F8E"/>
    <w:rsid w:val="008931BE"/>
    <w:rsid w:val="008C67E3"/>
    <w:rsid w:val="00921D45"/>
    <w:rsid w:val="00993C13"/>
    <w:rsid w:val="009A3FB7"/>
    <w:rsid w:val="009A66DB"/>
    <w:rsid w:val="009B2F80"/>
    <w:rsid w:val="009B3300"/>
    <w:rsid w:val="009F3380"/>
    <w:rsid w:val="00A02163"/>
    <w:rsid w:val="00A314FE"/>
    <w:rsid w:val="00A645CC"/>
    <w:rsid w:val="00A7387F"/>
    <w:rsid w:val="00AA3E80"/>
    <w:rsid w:val="00B27D7D"/>
    <w:rsid w:val="00BF36F8"/>
    <w:rsid w:val="00BF4622"/>
    <w:rsid w:val="00CD00B1"/>
    <w:rsid w:val="00D22306"/>
    <w:rsid w:val="00D42542"/>
    <w:rsid w:val="00D73E27"/>
    <w:rsid w:val="00D8121C"/>
    <w:rsid w:val="00DE2711"/>
    <w:rsid w:val="00E22189"/>
    <w:rsid w:val="00E74069"/>
    <w:rsid w:val="00EA4953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B90B0D55-43BD-4CCE-8EB0-BBAF7A50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415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5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enty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8E1140-9508-4FED-B07C-AE25DF88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2022-11-07T09:18:00Z</dcterms:created>
  <dcterms:modified xsi:type="dcterms:W3CDTF">2024-02-28T10:24:00Z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