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BC7" w:rsidRPr="007D112B" w:rsidRDefault="00000000">
      <w:pPr>
        <w:spacing w:after="80"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7D112B">
        <w:rPr>
          <w:rFonts w:ascii="Times New Roman" w:hAnsi="Times New Roman" w:cs="Times New Roman"/>
          <w:b/>
          <w:bCs/>
          <w:lang w:val="ru-RU"/>
        </w:rPr>
        <w:t xml:space="preserve">Особенности развития банковского сектора России и Турции в конце </w:t>
      </w:r>
      <w:r w:rsidRPr="007D112B">
        <w:rPr>
          <w:rFonts w:ascii="Times New Roman" w:hAnsi="Times New Roman" w:cs="Times New Roman"/>
          <w:b/>
          <w:bCs/>
        </w:rPr>
        <w:t>XX</w:t>
      </w:r>
      <w:r w:rsidRPr="007D112B">
        <w:rPr>
          <w:rFonts w:ascii="Times New Roman" w:hAnsi="Times New Roman" w:cs="Times New Roman"/>
          <w:b/>
          <w:bCs/>
          <w:lang w:val="ru-RU"/>
        </w:rPr>
        <w:t xml:space="preserve"> начале </w:t>
      </w:r>
      <w:r w:rsidRPr="007D112B">
        <w:rPr>
          <w:rFonts w:ascii="Times New Roman" w:hAnsi="Times New Roman" w:cs="Times New Roman"/>
          <w:b/>
          <w:bCs/>
        </w:rPr>
        <w:t>XXI</w:t>
      </w:r>
      <w:r w:rsidRPr="007D112B">
        <w:rPr>
          <w:rFonts w:ascii="Times New Roman" w:hAnsi="Times New Roman" w:cs="Times New Roman"/>
          <w:b/>
          <w:bCs/>
          <w:lang w:val="ru-RU"/>
        </w:rPr>
        <w:t xml:space="preserve"> века: сходства и различий тенденций</w:t>
      </w:r>
    </w:p>
    <w:p w:rsidR="00905BC7" w:rsidRPr="007D112B" w:rsidRDefault="00000000">
      <w:pPr>
        <w:pStyle w:val="a4"/>
        <w:spacing w:before="0" w:after="60" w:line="235" w:lineRule="auto"/>
        <w:rPr>
          <w:rFonts w:cs="Times New Roman"/>
        </w:rPr>
      </w:pPr>
      <w:r w:rsidRPr="007D112B">
        <w:rPr>
          <w:rFonts w:cs="Times New Roman"/>
        </w:rPr>
        <w:t xml:space="preserve">Логачев Фёдор Алексеевич </w:t>
      </w:r>
    </w:p>
    <w:p w:rsidR="00905BC7" w:rsidRPr="007D112B" w:rsidRDefault="00000000">
      <w:pPr>
        <w:pStyle w:val="a4"/>
        <w:spacing w:before="0" w:after="60" w:line="235" w:lineRule="auto"/>
        <w:rPr>
          <w:rFonts w:cs="Times New Roman"/>
        </w:rPr>
      </w:pPr>
      <w:r w:rsidRPr="007D112B">
        <w:rPr>
          <w:rFonts w:cs="Times New Roman"/>
        </w:rPr>
        <w:t>магистрант</w:t>
      </w:r>
    </w:p>
    <w:p w:rsidR="00905BC7" w:rsidRPr="007D112B" w:rsidRDefault="00000000">
      <w:pPr>
        <w:pStyle w:val="a4"/>
        <w:spacing w:before="0" w:after="60" w:line="235" w:lineRule="auto"/>
        <w:rPr>
          <w:rFonts w:cs="Times New Roman"/>
        </w:rPr>
      </w:pPr>
      <w:r w:rsidRPr="007D112B">
        <w:rPr>
          <w:rFonts w:cs="Times New Roman"/>
        </w:rPr>
        <w:t>Московский государственный университет им. М.В. Ломоносова, Москва, Россия</w:t>
      </w:r>
    </w:p>
    <w:p w:rsidR="00905BC7" w:rsidRPr="007D112B" w:rsidRDefault="00000000">
      <w:pPr>
        <w:pStyle w:val="a4"/>
        <w:spacing w:before="0" w:after="80" w:line="235" w:lineRule="auto"/>
        <w:rPr>
          <w:rFonts w:cs="Times New Roman"/>
          <w:lang w:val="en-US"/>
        </w:rPr>
      </w:pPr>
      <w:r w:rsidRPr="007D112B">
        <w:rPr>
          <w:rFonts w:cs="Times New Roman"/>
          <w:lang w:val="de-DE"/>
        </w:rPr>
        <w:t>E</w:t>
      </w:r>
      <w:r w:rsidRPr="007D112B">
        <w:rPr>
          <w:rFonts w:cs="Times New Roman"/>
          <w:lang w:val="en-US"/>
        </w:rPr>
        <w:t>–</w:t>
      </w:r>
      <w:r w:rsidRPr="007D112B">
        <w:rPr>
          <w:rFonts w:cs="Times New Roman"/>
          <w:lang w:val="de-DE"/>
        </w:rPr>
        <w:t>mail</w:t>
      </w:r>
      <w:r w:rsidRPr="007D112B">
        <w:rPr>
          <w:rFonts w:cs="Times New Roman"/>
          <w:lang w:val="en-US"/>
        </w:rPr>
        <w:t>: logachev.fedor@gmail.com</w:t>
      </w:r>
    </w:p>
    <w:p w:rsidR="00905BC7" w:rsidRPr="007D112B" w:rsidRDefault="00905BC7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</w:rPr>
      </w:pPr>
    </w:p>
    <w:p w:rsidR="00905BC7" w:rsidRPr="007D112B" w:rsidRDefault="00000000">
      <w:p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 xml:space="preserve">Экономики России и Турции являются одними из крупнейших в мире. Например, </w:t>
      </w:r>
      <w:r w:rsidR="004519E8" w:rsidRPr="007D112B">
        <w:rPr>
          <w:rFonts w:ascii="Times New Roman" w:hAnsi="Times New Roman" w:cs="Times New Roman"/>
          <w:lang w:val="ru-RU"/>
        </w:rPr>
        <w:t>Россия и Турция заняли 12 и 17 мес</w:t>
      </w:r>
      <w:r w:rsidR="007D112B">
        <w:rPr>
          <w:rFonts w:ascii="Times New Roman" w:hAnsi="Times New Roman" w:cs="Times New Roman"/>
          <w:lang w:val="ru-RU"/>
        </w:rPr>
        <w:t>т</w:t>
      </w:r>
      <w:r w:rsidR="004519E8" w:rsidRPr="007D112B">
        <w:rPr>
          <w:rFonts w:ascii="Times New Roman" w:hAnsi="Times New Roman" w:cs="Times New Roman"/>
          <w:lang w:val="ru-RU"/>
        </w:rPr>
        <w:t xml:space="preserve">а соответственно среди крупнейших экономик мира по ВВП </w:t>
      </w:r>
      <w:r w:rsidRPr="007D112B">
        <w:rPr>
          <w:rFonts w:ascii="Times New Roman" w:hAnsi="Times New Roman" w:cs="Times New Roman"/>
          <w:lang w:val="ru-RU"/>
        </w:rPr>
        <w:t>по результатам 2023 года</w:t>
      </w:r>
      <w:r w:rsidR="004519E8" w:rsidRPr="007D112B">
        <w:rPr>
          <w:rFonts w:ascii="Times New Roman" w:hAnsi="Times New Roman" w:cs="Times New Roman"/>
          <w:lang w:val="ru-RU"/>
        </w:rPr>
        <w:t xml:space="preserve">. </w:t>
      </w:r>
      <w:r w:rsidRPr="007D112B">
        <w:rPr>
          <w:rFonts w:ascii="Times New Roman" w:hAnsi="Times New Roman" w:cs="Times New Roman"/>
          <w:lang w:val="ru-RU"/>
        </w:rPr>
        <w:t>Немаловажную роль в развитии экономик обеих стран сыграла их национальная банковская система.</w:t>
      </w:r>
    </w:p>
    <w:p w:rsidR="00905BC7" w:rsidRPr="007D112B" w:rsidRDefault="00000000">
      <w:p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 xml:space="preserve">Банковский сектор Турции претерпел длительную эволюцию на пути достижения своего сегодняшнего уровня развития. Важной вехой в развитии банковского сектора стало вступление экономики страны в период либерализации и проведение банковских реформ в конце </w:t>
      </w:r>
      <w:r w:rsidRPr="007D112B">
        <w:rPr>
          <w:rFonts w:ascii="Times New Roman" w:hAnsi="Times New Roman" w:cs="Times New Roman"/>
        </w:rPr>
        <w:t>XX</w:t>
      </w:r>
      <w:r w:rsidRPr="007D112B">
        <w:rPr>
          <w:rFonts w:ascii="Times New Roman" w:hAnsi="Times New Roman" w:cs="Times New Roman"/>
          <w:lang w:val="ru-RU"/>
        </w:rPr>
        <w:t xml:space="preserve"> века. Вышеупомянутый процессы, позволив сравнительно успешно пережить финансовые кризис</w:t>
      </w:r>
      <w:r w:rsidR="004519E8" w:rsidRPr="007D112B">
        <w:rPr>
          <w:rFonts w:ascii="Times New Roman" w:hAnsi="Times New Roman" w:cs="Times New Roman"/>
          <w:lang w:val="ru-RU"/>
        </w:rPr>
        <w:t xml:space="preserve">ы </w:t>
      </w:r>
      <w:r w:rsidR="004519E8" w:rsidRPr="007D112B">
        <w:rPr>
          <w:rFonts w:ascii="Times New Roman" w:hAnsi="Times New Roman" w:cs="Times New Roman"/>
        </w:rPr>
        <w:t>XX</w:t>
      </w:r>
      <w:r w:rsidR="004519E8" w:rsidRPr="007D112B">
        <w:rPr>
          <w:rFonts w:ascii="Times New Roman" w:hAnsi="Times New Roman" w:cs="Times New Roman"/>
          <w:lang w:val="ru-RU"/>
        </w:rPr>
        <w:t xml:space="preserve"> и </w:t>
      </w:r>
      <w:r w:rsidR="004519E8" w:rsidRPr="007D112B">
        <w:rPr>
          <w:rFonts w:ascii="Times New Roman" w:hAnsi="Times New Roman" w:cs="Times New Roman"/>
        </w:rPr>
        <w:t>XXI</w:t>
      </w:r>
      <w:r w:rsidR="004519E8" w:rsidRPr="007D112B">
        <w:rPr>
          <w:rFonts w:ascii="Times New Roman" w:hAnsi="Times New Roman" w:cs="Times New Roman"/>
          <w:lang w:val="ru-RU"/>
        </w:rPr>
        <w:t xml:space="preserve"> веков</w:t>
      </w:r>
      <w:r w:rsidRPr="007D112B">
        <w:rPr>
          <w:rFonts w:ascii="Times New Roman" w:hAnsi="Times New Roman" w:cs="Times New Roman"/>
          <w:lang w:val="ru-RU"/>
        </w:rPr>
        <w:t xml:space="preserve"> заложили основу современной банковской системы Турции.</w:t>
      </w:r>
    </w:p>
    <w:p w:rsidR="00905BC7" w:rsidRPr="007D112B" w:rsidRDefault="00000000">
      <w:p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>После распада СССР в 1991 году банковский сектор России также претерпел значительные изменения, связанные с переходом страны к рыночной экономике. Была создана регуляторная база для функционирования банковского сектора страны в новых условиях. Кроме того, как и в случае с Турцией финансовые</w:t>
      </w:r>
      <w:r w:rsidR="004519E8" w:rsidRPr="007D112B">
        <w:rPr>
          <w:rFonts w:ascii="Times New Roman" w:hAnsi="Times New Roman" w:cs="Times New Roman"/>
          <w:lang w:val="ru-RU"/>
        </w:rPr>
        <w:t xml:space="preserve"> кризисы того периода отразились </w:t>
      </w:r>
      <w:r w:rsidRPr="007D112B">
        <w:rPr>
          <w:rFonts w:ascii="Times New Roman" w:hAnsi="Times New Roman" w:cs="Times New Roman"/>
          <w:lang w:val="ru-RU"/>
        </w:rPr>
        <w:t>на банковской системе страны и определили вектор ее последующего развития.</w:t>
      </w:r>
    </w:p>
    <w:p w:rsidR="00905BC7" w:rsidRPr="007D112B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7D112B">
        <w:rPr>
          <w:rFonts w:ascii="Times New Roman" w:hAnsi="Times New Roman" w:cs="Times New Roman"/>
          <w:lang w:val="ru-RU"/>
        </w:rPr>
        <w:t xml:space="preserve">Цель доклада сравнить процессы в развитии банковских секторов России и Турции в период конца </w:t>
      </w:r>
      <w:r w:rsidRPr="007D112B">
        <w:rPr>
          <w:rFonts w:ascii="Times New Roman" w:hAnsi="Times New Roman" w:cs="Times New Roman"/>
        </w:rPr>
        <w:t>XX</w:t>
      </w:r>
      <w:r w:rsidRPr="007D112B">
        <w:rPr>
          <w:rFonts w:ascii="Times New Roman" w:hAnsi="Times New Roman" w:cs="Times New Roman"/>
          <w:lang w:val="ru-RU"/>
        </w:rPr>
        <w:t xml:space="preserve"> начала </w:t>
      </w:r>
      <w:r w:rsidRPr="007D112B">
        <w:rPr>
          <w:rFonts w:ascii="Times New Roman" w:hAnsi="Times New Roman" w:cs="Times New Roman"/>
        </w:rPr>
        <w:t>XXI</w:t>
      </w:r>
      <w:r w:rsidRPr="007D112B">
        <w:rPr>
          <w:rFonts w:ascii="Times New Roman" w:hAnsi="Times New Roman" w:cs="Times New Roman"/>
          <w:lang w:val="ru-RU"/>
        </w:rPr>
        <w:t xml:space="preserve"> века, которые могут быть охарактеризованы как переходный период для обеих стран. Для этого следует ответить на следующие вопросы:</w:t>
      </w:r>
    </w:p>
    <w:p w:rsidR="00905BC7" w:rsidRPr="007D112B" w:rsidRDefault="00000000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>Определить подходы правительств двух стран по регулированию кредитно-денежной политики.</w:t>
      </w:r>
    </w:p>
    <w:p w:rsidR="00905BC7" w:rsidRPr="007D112B" w:rsidRDefault="00000000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 xml:space="preserve">Проследить каналы влияния международных финансовых кризисов конца </w:t>
      </w:r>
      <w:r w:rsidRPr="007D112B">
        <w:rPr>
          <w:rFonts w:ascii="Times New Roman" w:hAnsi="Times New Roman" w:cs="Times New Roman"/>
        </w:rPr>
        <w:t>XX</w:t>
      </w:r>
      <w:r w:rsidRPr="007D112B">
        <w:rPr>
          <w:rFonts w:ascii="Times New Roman" w:hAnsi="Times New Roman" w:cs="Times New Roman"/>
          <w:lang w:val="ru-RU"/>
        </w:rPr>
        <w:t xml:space="preserve"> начала </w:t>
      </w:r>
      <w:r w:rsidRPr="007D112B">
        <w:rPr>
          <w:rFonts w:ascii="Times New Roman" w:hAnsi="Times New Roman" w:cs="Times New Roman"/>
        </w:rPr>
        <w:t>XXI</w:t>
      </w:r>
      <w:r w:rsidRPr="007D112B">
        <w:rPr>
          <w:rFonts w:ascii="Times New Roman" w:hAnsi="Times New Roman" w:cs="Times New Roman"/>
          <w:lang w:val="ru-RU"/>
        </w:rPr>
        <w:t xml:space="preserve"> веков на развитие банковских секторов России и Турции.</w:t>
      </w:r>
    </w:p>
    <w:p w:rsidR="00905BC7" w:rsidRPr="007D112B" w:rsidRDefault="00000000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 xml:space="preserve">Сравнить общие тенденции в развитии банковских секторов двух стран через анализ таких показателей, как численность игроков банковских секторов двух стран, а также объемы и основные направления и </w:t>
      </w:r>
      <w:r w:rsidR="004519E8" w:rsidRPr="007D112B">
        <w:rPr>
          <w:rFonts w:ascii="Times New Roman" w:hAnsi="Times New Roman" w:cs="Times New Roman"/>
          <w:lang w:val="ru-RU"/>
        </w:rPr>
        <w:t>эффективность их</w:t>
      </w:r>
      <w:r w:rsidRPr="007D112B">
        <w:rPr>
          <w:rFonts w:ascii="Times New Roman" w:hAnsi="Times New Roman" w:cs="Times New Roman"/>
          <w:lang w:val="ru-RU"/>
        </w:rPr>
        <w:t xml:space="preserve"> деятельности.</w:t>
      </w:r>
    </w:p>
    <w:p w:rsidR="00905BC7" w:rsidRPr="007D112B" w:rsidRDefault="00905BC7">
      <w:pPr>
        <w:ind w:firstLine="0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:rsidR="00905BC7" w:rsidRPr="007D112B" w:rsidRDefault="00000000">
      <w:pPr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>Некоторые выводы:</w:t>
      </w:r>
    </w:p>
    <w:p w:rsidR="00905BC7" w:rsidRPr="007D112B" w:rsidRDefault="00905BC7">
      <w:pPr>
        <w:ind w:firstLine="0"/>
        <w:jc w:val="both"/>
        <w:rPr>
          <w:rFonts w:ascii="Times New Roman" w:eastAsia="Times New Roman" w:hAnsi="Times New Roman" w:cs="Times New Roman"/>
          <w:lang w:val="ru-RU"/>
        </w:rPr>
      </w:pPr>
    </w:p>
    <w:p w:rsidR="00905BC7" w:rsidRPr="007D112B" w:rsidRDefault="00000000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 xml:space="preserve">Несмотря на ряд различий в политике России и Турции по регулированию банковского сектора существовали и определенные сходства. В частности, центральные банки обеих стран почти не осуществляли контроль за выходом новых игроков на банковский рынок страны. Ситуация начала меняться только в конце 90-х годов </w:t>
      </w:r>
      <w:r w:rsidRPr="007D112B">
        <w:rPr>
          <w:rFonts w:ascii="Times New Roman" w:hAnsi="Times New Roman" w:cs="Times New Roman"/>
        </w:rPr>
        <w:t>XX</w:t>
      </w:r>
      <w:r w:rsidRPr="007D112B">
        <w:rPr>
          <w:rFonts w:ascii="Times New Roman" w:hAnsi="Times New Roman" w:cs="Times New Roman"/>
          <w:lang w:val="ru-RU"/>
        </w:rPr>
        <w:t xml:space="preserve"> века после кризисов 1994 и 1998 годов в России и Турции, когда ЦБ обеих стран начали проводить политику по оздоровлению своих банковских секторов, в частности, путем отзыва лицензий и проведения санаций ненадежных банков. Кроме того, следует отметить роль </w:t>
      </w:r>
      <w:r w:rsidR="007D112B">
        <w:rPr>
          <w:rFonts w:ascii="Times New Roman" w:hAnsi="Times New Roman" w:cs="Times New Roman"/>
          <w:lang w:val="ru-RU"/>
        </w:rPr>
        <w:t>Международного Валютного Фонда</w:t>
      </w:r>
      <w:r w:rsidRPr="007D112B">
        <w:rPr>
          <w:rFonts w:ascii="Times New Roman" w:hAnsi="Times New Roman" w:cs="Times New Roman"/>
          <w:lang w:val="ru-RU"/>
        </w:rPr>
        <w:t xml:space="preserve"> в разработке программ по развитию банковских секторов двух стран.</w:t>
      </w:r>
    </w:p>
    <w:p w:rsidR="00905BC7" w:rsidRPr="007D112B" w:rsidRDefault="00000000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lastRenderedPageBreak/>
        <w:t>Одним из последствий либерализации банковских секторов обеих стран стал рост количества банков. Так, например, на рост количества банков в России в период с 1991 по 1996 год составил 85% (с 1360 до 2517 банков). В Турции же в период с 1980 по 2000 год их число выросло более, чем на 83% (с 43 до 79 банков). Масштаб деятельности национальных банковских систем двух стран измеряемый, например, измеряемый отношением банковских активов к ВВП, вполне сопоставим. Стоит отметить, что в обоих случаях росту числа банков благоприятствовала высокая рентабельность банковских операций в условиях высокой инфляции и нестабильности на валютных рынках.</w:t>
      </w:r>
      <w:r w:rsidR="007D112B">
        <w:rPr>
          <w:rFonts w:ascii="Times New Roman" w:hAnsi="Times New Roman" w:cs="Times New Roman"/>
          <w:lang w:val="ru-RU"/>
        </w:rPr>
        <w:t xml:space="preserve"> </w:t>
      </w:r>
    </w:p>
    <w:p w:rsidR="00905BC7" w:rsidRPr="007D112B" w:rsidRDefault="00000000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>Кроме того, стоит отметить, что многие частные банки как РФ, так и Турции находились под контролем крупных компаний, которые использовали их банки для обслуживания собственных деловых операций, что негативно влияло на показатели их финансовой эффективности.</w:t>
      </w:r>
    </w:p>
    <w:p w:rsidR="00905BC7" w:rsidRPr="007D112B" w:rsidRDefault="00000000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>Одним из основных сходств развития банковских секторов двух стран стал рост доли ценных бумаг в активах банков. Например, в России в период с 1995 по 1997 год она вросла на 12,3 процентных пункта. В большинстве своем речь шла о высокодоходных облигациях государственного займа, которые выпускались в обеих странах в этот период для финансирования дефицита федерального бюджета.</w:t>
      </w:r>
    </w:p>
    <w:p w:rsidR="00905BC7" w:rsidRPr="007D112B" w:rsidRDefault="00000000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 xml:space="preserve">Банковские системы обеих стран находились в поиске оптимальных решений по регулированию банковских систем, в частности </w:t>
      </w:r>
      <w:r w:rsidR="004519E8" w:rsidRPr="007D112B">
        <w:rPr>
          <w:rFonts w:ascii="Times New Roman" w:hAnsi="Times New Roman" w:cs="Times New Roman"/>
          <w:lang w:val="ru-RU"/>
        </w:rPr>
        <w:t xml:space="preserve">по </w:t>
      </w:r>
      <w:r w:rsidRPr="007D112B">
        <w:rPr>
          <w:rFonts w:ascii="Times New Roman" w:hAnsi="Times New Roman" w:cs="Times New Roman"/>
          <w:lang w:val="ru-RU"/>
        </w:rPr>
        <w:t>внедрени</w:t>
      </w:r>
      <w:r w:rsidR="007D112B" w:rsidRPr="007D112B">
        <w:rPr>
          <w:rFonts w:ascii="Times New Roman" w:hAnsi="Times New Roman" w:cs="Times New Roman"/>
          <w:lang w:val="ru-RU"/>
        </w:rPr>
        <w:t>ю</w:t>
      </w:r>
      <w:r w:rsidRPr="007D112B">
        <w:rPr>
          <w:rFonts w:ascii="Times New Roman" w:hAnsi="Times New Roman" w:cs="Times New Roman"/>
          <w:lang w:val="ru-RU"/>
        </w:rPr>
        <w:t xml:space="preserve"> и </w:t>
      </w:r>
      <w:r w:rsidR="004519E8" w:rsidRPr="007D112B">
        <w:rPr>
          <w:rFonts w:ascii="Times New Roman" w:hAnsi="Times New Roman" w:cs="Times New Roman"/>
          <w:lang w:val="ru-RU"/>
        </w:rPr>
        <w:t>совершенствовани</w:t>
      </w:r>
      <w:r w:rsidR="007D112B" w:rsidRPr="007D112B">
        <w:rPr>
          <w:rFonts w:ascii="Times New Roman" w:hAnsi="Times New Roman" w:cs="Times New Roman"/>
          <w:lang w:val="ru-RU"/>
        </w:rPr>
        <w:t xml:space="preserve">ю </w:t>
      </w:r>
      <w:r w:rsidR="004519E8" w:rsidRPr="007D112B">
        <w:rPr>
          <w:rFonts w:ascii="Times New Roman" w:hAnsi="Times New Roman" w:cs="Times New Roman"/>
          <w:lang w:val="ru-RU"/>
        </w:rPr>
        <w:t>механизмов</w:t>
      </w:r>
      <w:r w:rsidRPr="007D112B">
        <w:rPr>
          <w:rFonts w:ascii="Times New Roman" w:hAnsi="Times New Roman" w:cs="Times New Roman"/>
          <w:lang w:val="ru-RU"/>
        </w:rPr>
        <w:t xml:space="preserve"> использования ключевой ставки. </w:t>
      </w:r>
    </w:p>
    <w:p w:rsidR="004519E8" w:rsidRPr="007D112B" w:rsidRDefault="004519E8" w:rsidP="004519E8">
      <w:pPr>
        <w:spacing w:line="276" w:lineRule="auto"/>
        <w:ind w:left="360" w:firstLine="0"/>
        <w:jc w:val="both"/>
        <w:rPr>
          <w:rFonts w:ascii="Times New Roman" w:hAnsi="Times New Roman" w:cs="Times New Roman"/>
          <w:lang w:val="ru-RU"/>
        </w:rPr>
      </w:pPr>
    </w:p>
    <w:p w:rsidR="007D112B" w:rsidRPr="007D112B" w:rsidRDefault="007D112B" w:rsidP="004519E8">
      <w:pPr>
        <w:spacing w:line="276" w:lineRule="auto"/>
        <w:ind w:left="360" w:firstLine="0"/>
        <w:jc w:val="both"/>
        <w:rPr>
          <w:rFonts w:ascii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>Литература</w:t>
      </w:r>
    </w:p>
    <w:p w:rsidR="004519E8" w:rsidRPr="007D112B" w:rsidRDefault="004519E8" w:rsidP="007D112B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D112B">
        <w:rPr>
          <w:rFonts w:ascii="Times New Roman" w:hAnsi="Times New Roman" w:cs="Times New Roman"/>
        </w:rPr>
        <w:t>Cevdet</w:t>
      </w:r>
      <w:proofErr w:type="spellEnd"/>
      <w:r w:rsidRPr="007D112B">
        <w:rPr>
          <w:rFonts w:ascii="Times New Roman" w:hAnsi="Times New Roman" w:cs="Times New Roman"/>
        </w:rPr>
        <w:t xml:space="preserve"> </w:t>
      </w:r>
      <w:proofErr w:type="spellStart"/>
      <w:r w:rsidRPr="007D112B">
        <w:rPr>
          <w:rFonts w:ascii="Times New Roman" w:hAnsi="Times New Roman" w:cs="Times New Roman"/>
        </w:rPr>
        <w:t>Denizer</w:t>
      </w:r>
      <w:proofErr w:type="spellEnd"/>
      <w:r w:rsidRPr="007D112B">
        <w:rPr>
          <w:rFonts w:ascii="Times New Roman" w:hAnsi="Times New Roman" w:cs="Times New Roman"/>
        </w:rPr>
        <w:t>. Foreign Entry in Turkey's Banking Sector, 1980-97</w:t>
      </w:r>
      <w:r w:rsidRPr="007D112B">
        <w:rPr>
          <w:rFonts w:ascii="Times New Roman" w:hAnsi="Times New Roman" w:cs="Times New Roman"/>
        </w:rPr>
        <w:t xml:space="preserve"> // </w:t>
      </w:r>
      <w:r w:rsidRPr="007D112B">
        <w:rPr>
          <w:rFonts w:ascii="Times New Roman" w:hAnsi="Times New Roman" w:cs="Times New Roman"/>
        </w:rPr>
        <w:t xml:space="preserve">The World Bank, 2000. </w:t>
      </w:r>
      <w:r w:rsidRPr="007D112B">
        <w:rPr>
          <w:rFonts w:ascii="Times New Roman" w:hAnsi="Times New Roman" w:cs="Times New Roman"/>
          <w:lang w:val="ru-RU"/>
        </w:rPr>
        <w:t xml:space="preserve">P. 29. </w:t>
      </w:r>
    </w:p>
    <w:p w:rsidR="007D112B" w:rsidRPr="007D112B" w:rsidRDefault="007D112B" w:rsidP="007D112B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D112B">
        <w:rPr>
          <w:rFonts w:ascii="Times New Roman" w:hAnsi="Times New Roman" w:cs="Times New Roman"/>
        </w:rPr>
        <w:t>Levent</w:t>
      </w:r>
      <w:proofErr w:type="spellEnd"/>
      <w:r w:rsidRPr="007D112B">
        <w:rPr>
          <w:rFonts w:ascii="Times New Roman" w:hAnsi="Times New Roman" w:cs="Times New Roman"/>
        </w:rPr>
        <w:t xml:space="preserve"> </w:t>
      </w:r>
      <w:proofErr w:type="spellStart"/>
      <w:r w:rsidRPr="007D112B">
        <w:rPr>
          <w:rFonts w:ascii="Times New Roman" w:hAnsi="Times New Roman" w:cs="Times New Roman"/>
        </w:rPr>
        <w:t>Koç</w:t>
      </w:r>
      <w:proofErr w:type="spellEnd"/>
      <w:r w:rsidRPr="007D112B">
        <w:rPr>
          <w:rFonts w:ascii="Times New Roman" w:hAnsi="Times New Roman" w:cs="Times New Roman"/>
        </w:rPr>
        <w:t>. February 2001 crisis in Turkey: Causes and Consequence</w:t>
      </w:r>
      <w:r w:rsidRPr="007D112B">
        <w:rPr>
          <w:rFonts w:ascii="Times New Roman" w:hAnsi="Times New Roman" w:cs="Times New Roman"/>
        </w:rPr>
        <w:t xml:space="preserve"> // </w:t>
      </w:r>
      <w:r w:rsidRPr="007D112B">
        <w:rPr>
          <w:rFonts w:ascii="Times New Roman" w:hAnsi="Times New Roman" w:cs="Times New Roman"/>
        </w:rPr>
        <w:t xml:space="preserve">Islamabad: Pakistan Institute of Development Economics, 2002.  P. 20. </w:t>
      </w:r>
    </w:p>
    <w:p w:rsidR="007D112B" w:rsidRPr="007D112B" w:rsidRDefault="007D112B" w:rsidP="007D112B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D112B">
        <w:rPr>
          <w:rFonts w:ascii="Times New Roman" w:hAnsi="Times New Roman" w:cs="Times New Roman"/>
        </w:rPr>
        <w:t>Turkish Banking: Banking under Political Instability and Chronic High Inflation</w:t>
      </w:r>
      <w:r w:rsidRPr="007D112B">
        <w:rPr>
          <w:rFonts w:ascii="Times New Roman" w:hAnsi="Times New Roman" w:cs="Times New Roman"/>
        </w:rPr>
        <w:t xml:space="preserve"> //</w:t>
      </w:r>
      <w:r w:rsidRPr="007D112B">
        <w:rPr>
          <w:rFonts w:ascii="Times New Roman" w:hAnsi="Times New Roman" w:cs="Times New Roman"/>
        </w:rPr>
        <w:t xml:space="preserve"> UK: Palgrave Macmillan Studies. 2010. P. 217.</w:t>
      </w:r>
    </w:p>
    <w:p w:rsidR="007D112B" w:rsidRPr="007D112B" w:rsidRDefault="007D112B" w:rsidP="007D112B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D112B">
        <w:rPr>
          <w:rFonts w:ascii="Times New Roman" w:hAnsi="Times New Roman" w:cs="Times New Roman"/>
        </w:rPr>
        <w:t>Г.И. Ханин</w:t>
      </w:r>
      <w:r w:rsidRPr="007D112B">
        <w:rPr>
          <w:rFonts w:ascii="Times New Roman" w:hAnsi="Times New Roman" w:cs="Times New Roman"/>
        </w:rPr>
        <w:t xml:space="preserve">. Коммерческие банки </w:t>
      </w:r>
      <w:r w:rsidRPr="007D112B">
        <w:rPr>
          <w:rFonts w:ascii="Times New Roman" w:hAnsi="Times New Roman" w:cs="Times New Roman"/>
        </w:rPr>
        <w:t xml:space="preserve">РФ В 1992–1998 </w:t>
      </w:r>
      <w:proofErr w:type="spellStart"/>
      <w:r w:rsidRPr="007D112B">
        <w:rPr>
          <w:rFonts w:ascii="Times New Roman" w:hAnsi="Times New Roman" w:cs="Times New Roman"/>
        </w:rPr>
        <w:t>гг</w:t>
      </w:r>
      <w:proofErr w:type="spellEnd"/>
      <w:r w:rsidRPr="007D112B">
        <w:rPr>
          <w:rFonts w:ascii="Times New Roman" w:hAnsi="Times New Roman" w:cs="Times New Roman"/>
        </w:rPr>
        <w:t xml:space="preserve"> // </w:t>
      </w:r>
      <w:r w:rsidRPr="007D112B">
        <w:rPr>
          <w:rFonts w:ascii="Times New Roman" w:hAnsi="Times New Roman" w:cs="Times New Roman"/>
        </w:rPr>
        <w:t>Новосибирский государственный технический университет</w:t>
      </w:r>
      <w:r w:rsidRPr="007D112B">
        <w:rPr>
          <w:rFonts w:ascii="Times New Roman" w:hAnsi="Times New Roman" w:cs="Times New Roman"/>
        </w:rPr>
        <w:t>. С 20.</w:t>
      </w:r>
    </w:p>
    <w:p w:rsidR="007D112B" w:rsidRPr="007D112B" w:rsidRDefault="007D112B" w:rsidP="007D112B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7D112B">
        <w:rPr>
          <w:rFonts w:ascii="Times New Roman" w:hAnsi="Times New Roman" w:cs="Times New Roman"/>
          <w:lang w:val="ru-RU"/>
        </w:rPr>
        <w:t>https://</w:t>
      </w:r>
      <w:r w:rsidRPr="007D112B">
        <w:rPr>
          <w:rFonts w:ascii="Times New Roman" w:hAnsi="Times New Roman" w:cs="Times New Roman"/>
          <w:lang w:val="ru-RU"/>
        </w:rPr>
        <w:t>w</w:t>
      </w:r>
      <w:r w:rsidRPr="007D112B">
        <w:rPr>
          <w:rFonts w:ascii="Times New Roman" w:hAnsi="Times New Roman" w:cs="Times New Roman"/>
          <w:lang w:val="ru-RU"/>
        </w:rPr>
        <w:t>ww.</w:t>
      </w:r>
      <w:r w:rsidRPr="007D112B">
        <w:rPr>
          <w:rFonts w:ascii="Times New Roman" w:hAnsi="Times New Roman" w:cs="Times New Roman"/>
          <w:lang w:val="ru-RU"/>
        </w:rPr>
        <w:t>c</w:t>
      </w:r>
      <w:r w:rsidRPr="007D112B">
        <w:rPr>
          <w:rFonts w:ascii="Times New Roman" w:hAnsi="Times New Roman" w:cs="Times New Roman"/>
          <w:lang w:val="ru-RU"/>
        </w:rPr>
        <w:t>br.ru</w:t>
      </w:r>
      <w:r w:rsidRPr="007D112B">
        <w:rPr>
          <w:rFonts w:ascii="Times New Roman" w:hAnsi="Times New Roman" w:cs="Times New Roman"/>
          <w:lang w:val="ru-RU"/>
        </w:rPr>
        <w:t xml:space="preserve"> (Официальный веб-сайт Центрального банка Российской Федерации).</w:t>
      </w:r>
    </w:p>
    <w:p w:rsidR="007D112B" w:rsidRPr="007D112B" w:rsidRDefault="007D112B" w:rsidP="004519E8">
      <w:pPr>
        <w:spacing w:line="276" w:lineRule="auto"/>
        <w:ind w:left="360" w:firstLine="0"/>
        <w:jc w:val="both"/>
        <w:rPr>
          <w:rFonts w:ascii="Times New Roman" w:hAnsi="Times New Roman" w:cs="Times New Roman"/>
          <w:lang w:val="ru-RU"/>
        </w:rPr>
      </w:pPr>
    </w:p>
    <w:sectPr w:rsidR="007D112B" w:rsidRPr="007D112B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7C2" w:rsidRDefault="00DA37C2">
      <w:pPr>
        <w:rPr>
          <w:rFonts w:hint="eastAsia"/>
        </w:rPr>
      </w:pPr>
      <w:r>
        <w:separator/>
      </w:r>
    </w:p>
  </w:endnote>
  <w:endnote w:type="continuationSeparator" w:id="0">
    <w:p w:rsidR="00DA37C2" w:rsidRDefault="00DA37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500000000020000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5BC7" w:rsidRDefault="00905BC7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7C2" w:rsidRDefault="00DA37C2">
      <w:pPr>
        <w:rPr>
          <w:rFonts w:hint="eastAsia"/>
        </w:rPr>
      </w:pPr>
      <w:r>
        <w:separator/>
      </w:r>
    </w:p>
  </w:footnote>
  <w:footnote w:type="continuationSeparator" w:id="0">
    <w:p w:rsidR="00DA37C2" w:rsidRDefault="00DA37C2">
      <w:pPr>
        <w:rPr>
          <w:rFonts w:hint="eastAsia"/>
        </w:rPr>
      </w:pPr>
      <w:r>
        <w:continuationSeparator/>
      </w:r>
    </w:p>
  </w:footnote>
  <w:footnote w:type="continuationNotice" w:id="1">
    <w:p w:rsidR="00DA37C2" w:rsidRDefault="00DA37C2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5BC7" w:rsidRDefault="00905BC7">
    <w:pPr>
      <w:pStyle w:val="stBilgiveAl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312"/>
    <w:multiLevelType w:val="hybridMultilevel"/>
    <w:tmpl w:val="1E449F16"/>
    <w:styleLink w:val="eAktarlanStil1"/>
    <w:lvl w:ilvl="0" w:tplc="95AEB67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FC9DB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AAAFA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AD30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1CF89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F2F25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13E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5AB4D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42902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C30EBD"/>
    <w:multiLevelType w:val="hybridMultilevel"/>
    <w:tmpl w:val="1E449F16"/>
    <w:numStyleLink w:val="eAktarlanStil1"/>
  </w:abstractNum>
  <w:abstractNum w:abstractNumId="2" w15:restartNumberingAfterBreak="0">
    <w:nsid w:val="162E1E07"/>
    <w:multiLevelType w:val="hybridMultilevel"/>
    <w:tmpl w:val="8176FA46"/>
    <w:numStyleLink w:val="eAktarlanStil2"/>
  </w:abstractNum>
  <w:abstractNum w:abstractNumId="3" w15:restartNumberingAfterBreak="0">
    <w:nsid w:val="19AD2C1A"/>
    <w:multiLevelType w:val="hybridMultilevel"/>
    <w:tmpl w:val="14C04C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7E7B91"/>
    <w:multiLevelType w:val="hybridMultilevel"/>
    <w:tmpl w:val="8176FA46"/>
    <w:styleLink w:val="eAktarlanStil2"/>
    <w:lvl w:ilvl="0" w:tplc="F55A41A6">
      <w:start w:val="1"/>
      <w:numFmt w:val="decimal"/>
      <w:lvlText w:val="%1)"/>
      <w:lvlJc w:val="left"/>
      <w:pPr>
        <w:tabs>
          <w:tab w:val="num" w:pos="708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A25DAA">
      <w:start w:val="1"/>
      <w:numFmt w:val="lowerLetter"/>
      <w:lvlText w:val="%2."/>
      <w:lvlJc w:val="left"/>
      <w:pPr>
        <w:tabs>
          <w:tab w:val="num" w:pos="1428"/>
        </w:tabs>
        <w:ind w:left="108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E4A596">
      <w:start w:val="1"/>
      <w:numFmt w:val="lowerRoman"/>
      <w:lvlText w:val="%3."/>
      <w:lvlJc w:val="left"/>
      <w:pPr>
        <w:tabs>
          <w:tab w:val="num" w:pos="2148"/>
        </w:tabs>
        <w:ind w:left="180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C35D2">
      <w:start w:val="1"/>
      <w:numFmt w:val="decimal"/>
      <w:lvlText w:val="%4."/>
      <w:lvlJc w:val="left"/>
      <w:pPr>
        <w:tabs>
          <w:tab w:val="num" w:pos="2868"/>
        </w:tabs>
        <w:ind w:left="252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18C4C6">
      <w:start w:val="1"/>
      <w:numFmt w:val="lowerLetter"/>
      <w:lvlText w:val="%5."/>
      <w:lvlJc w:val="left"/>
      <w:pPr>
        <w:tabs>
          <w:tab w:val="num" w:pos="3588"/>
        </w:tabs>
        <w:ind w:left="324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0B854">
      <w:start w:val="1"/>
      <w:numFmt w:val="lowerRoman"/>
      <w:lvlText w:val="%6."/>
      <w:lvlJc w:val="left"/>
      <w:pPr>
        <w:tabs>
          <w:tab w:val="num" w:pos="4308"/>
        </w:tabs>
        <w:ind w:left="396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4EFB2">
      <w:start w:val="1"/>
      <w:numFmt w:val="decimal"/>
      <w:lvlText w:val="%7."/>
      <w:lvlJc w:val="left"/>
      <w:pPr>
        <w:tabs>
          <w:tab w:val="num" w:pos="5028"/>
        </w:tabs>
        <w:ind w:left="468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5A91C2">
      <w:start w:val="1"/>
      <w:numFmt w:val="lowerLetter"/>
      <w:lvlText w:val="%8."/>
      <w:lvlJc w:val="left"/>
      <w:pPr>
        <w:tabs>
          <w:tab w:val="num" w:pos="5748"/>
        </w:tabs>
        <w:ind w:left="540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E415EA">
      <w:start w:val="1"/>
      <w:numFmt w:val="lowerRoman"/>
      <w:lvlText w:val="%9."/>
      <w:lvlJc w:val="left"/>
      <w:pPr>
        <w:tabs>
          <w:tab w:val="num" w:pos="6468"/>
        </w:tabs>
        <w:ind w:left="612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12357488">
    <w:abstractNumId w:val="0"/>
  </w:num>
  <w:num w:numId="2" w16cid:durableId="958806267">
    <w:abstractNumId w:val="1"/>
  </w:num>
  <w:num w:numId="3" w16cid:durableId="212620291">
    <w:abstractNumId w:val="4"/>
  </w:num>
  <w:num w:numId="4" w16cid:durableId="1689091223">
    <w:abstractNumId w:val="2"/>
  </w:num>
  <w:num w:numId="5" w16cid:durableId="936445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C7"/>
    <w:rsid w:val="004519E8"/>
    <w:rsid w:val="007D112B"/>
    <w:rsid w:val="008C1D5B"/>
    <w:rsid w:val="00905BC7"/>
    <w:rsid w:val="00D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082FC"/>
  <w15:docId w15:val="{758CEA4A-E101-BF46-822E-A9342348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67"/>
    </w:pPr>
    <w:rPr>
      <w:rFonts w:ascii="Times Roman" w:hAnsi="Times Roman"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Ломоносов_ВУЗ_мэйл"/>
    <w:pPr>
      <w:spacing w:before="120" w:after="120" w:line="280" w:lineRule="exact"/>
      <w:ind w:firstLine="567"/>
      <w:jc w:val="center"/>
    </w:pPr>
    <w:rPr>
      <w:rFonts w:cs="Arial Unicode MS"/>
      <w:i/>
      <w:iCs/>
      <w:color w:val="000000"/>
      <w:sz w:val="24"/>
      <w:szCs w:val="24"/>
      <w:u w:color="000000"/>
    </w:rPr>
  </w:style>
  <w:style w:type="paragraph" w:styleId="a5">
    <w:name w:val="footnote text"/>
    <w:pPr>
      <w:ind w:firstLine="567"/>
    </w:pPr>
    <w:rPr>
      <w:rFonts w:ascii="Times Roman" w:eastAsia="Times Roman" w:hAnsi="Times Roman" w:cs="Times Roman"/>
      <w:color w:val="000000"/>
      <w:u w:color="000000"/>
      <w:lang w:val="en-US"/>
    </w:rPr>
  </w:style>
  <w:style w:type="paragraph" w:styleId="a6">
    <w:name w:val="List Paragraph"/>
    <w:pPr>
      <w:ind w:left="720" w:firstLine="567"/>
    </w:pPr>
    <w:rPr>
      <w:rFonts w:ascii="Times Roman" w:hAnsi="Times Roman" w:cs="Arial Unicode MS"/>
      <w:color w:val="000000"/>
      <w:sz w:val="24"/>
      <w:szCs w:val="24"/>
      <w:u w:color="000000"/>
      <w:lang w:val="en-US"/>
    </w:rPr>
  </w:style>
  <w:style w:type="numbering" w:customStyle="1" w:styleId="eAktarlanStil1">
    <w:name w:val="İçe Aktarılan Stil 1"/>
    <w:pPr>
      <w:numPr>
        <w:numId w:val="1"/>
      </w:numPr>
    </w:pPr>
  </w:style>
  <w:style w:type="numbering" w:customStyle="1" w:styleId="eAktarlanStil2">
    <w:name w:val="İçe Aktarılan Stil 2"/>
    <w:pPr>
      <w:numPr>
        <w:numId w:val="3"/>
      </w:numPr>
    </w:pPr>
  </w:style>
  <w:style w:type="character" w:styleId="a7">
    <w:name w:val="Unresolved Mention"/>
    <w:basedOn w:val="a0"/>
    <w:uiPriority w:val="99"/>
    <w:semiHidden/>
    <w:unhideWhenUsed/>
    <w:rsid w:val="007D112B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7D11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auto"/>
      <w:bdr w:val="none" w:sz="0" w:space="0" w:color="auto"/>
      <w:lang w:val="ru-RU"/>
    </w:rPr>
  </w:style>
  <w:style w:type="character" w:styleId="a9">
    <w:name w:val="FollowedHyperlink"/>
    <w:basedOn w:val="a0"/>
    <w:uiPriority w:val="99"/>
    <w:semiHidden/>
    <w:unhideWhenUsed/>
    <w:rsid w:val="007D112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Fedor Logachev</cp:lastModifiedBy>
  <cp:revision>2</cp:revision>
  <dcterms:created xsi:type="dcterms:W3CDTF">2024-02-25T19:33:00Z</dcterms:created>
  <dcterms:modified xsi:type="dcterms:W3CDTF">2024-02-25T19:33:00Z</dcterms:modified>
</cp:coreProperties>
</file>