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E849" w14:textId="4E401460" w:rsidR="001039F3" w:rsidRPr="001039F3" w:rsidRDefault="006408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вопросу о методике анализа торговых отношений Турции и Африки</w:t>
      </w:r>
    </w:p>
    <w:p w14:paraId="69D5537E" w14:textId="7CC0549C" w:rsidR="00B62411" w:rsidRDefault="001039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Евграфов Андрей Ильич</w:t>
      </w:r>
    </w:p>
    <w:p w14:paraId="37F0FF29" w14:textId="1566B88D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6408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магистратуры</w:t>
      </w:r>
      <w:r w:rsidR="006408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6408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м.н.с</w:t>
      </w:r>
      <w:proofErr w:type="spellEnd"/>
      <w:r w:rsidR="006408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3379A16F" w14:textId="117572AC" w:rsidR="00B62411" w:rsidRDefault="001119E4" w:rsidP="001039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4762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</w:t>
      </w:r>
    </w:p>
    <w:p w14:paraId="5C32FB7C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408EA96C" w14:textId="549DA2C2" w:rsidR="006408C9" w:rsidRDefault="006408C9" w:rsidP="006408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Факультет мировой экономики и мировой политики НИУ ВШЭ </w:t>
      </w:r>
    </w:p>
    <w:p w14:paraId="6240D182" w14:textId="47E6A30F" w:rsidR="006408C9" w:rsidRPr="006408C9" w:rsidRDefault="006408C9" w:rsidP="006408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Научно-учебная лаборатория исследований современного Ирана</w:t>
      </w:r>
    </w:p>
    <w:p w14:paraId="2624F760" w14:textId="3B316148" w:rsidR="00B62411" w:rsidRPr="006408C9" w:rsidRDefault="001119E4" w:rsidP="001039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9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E</w:t>
      </w:r>
      <w:r w:rsidRPr="006408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1039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mail</w:t>
      </w:r>
      <w:r w:rsidRPr="006408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Pr="006408C9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 xml:space="preserve"> </w:t>
      </w:r>
      <w:proofErr w:type="spellStart"/>
      <w:r w:rsidR="001039F3" w:rsidRPr="001039F3">
        <w:rPr>
          <w:rFonts w:asciiTheme="majorBidi" w:hAnsiTheme="majorBidi" w:cstheme="majorBidi"/>
          <w:i/>
          <w:iCs/>
          <w:sz w:val="24"/>
          <w:szCs w:val="24"/>
          <w:u w:val="single"/>
          <w:lang w:val="de-DE"/>
        </w:rPr>
        <w:t>evgraf</w:t>
      </w:r>
      <w:proofErr w:type="spellEnd"/>
      <w:r w:rsidR="001039F3" w:rsidRPr="006408C9">
        <w:rPr>
          <w:rFonts w:asciiTheme="majorBidi" w:hAnsiTheme="majorBidi" w:cstheme="majorBidi"/>
          <w:i/>
          <w:iCs/>
          <w:sz w:val="24"/>
          <w:szCs w:val="24"/>
          <w:u w:val="single"/>
        </w:rPr>
        <w:t>200011@</w:t>
      </w:r>
      <w:proofErr w:type="spellStart"/>
      <w:r w:rsidR="001039F3" w:rsidRPr="001039F3">
        <w:rPr>
          <w:rFonts w:asciiTheme="majorBidi" w:hAnsiTheme="majorBidi" w:cstheme="majorBidi"/>
          <w:i/>
          <w:iCs/>
          <w:sz w:val="24"/>
          <w:szCs w:val="24"/>
          <w:u w:val="single"/>
          <w:lang w:val="de-DE"/>
        </w:rPr>
        <w:t>gmail</w:t>
      </w:r>
      <w:proofErr w:type="spellEnd"/>
      <w:r w:rsidR="001039F3" w:rsidRPr="006408C9">
        <w:rPr>
          <w:rFonts w:asciiTheme="majorBidi" w:hAnsiTheme="majorBidi" w:cstheme="majorBidi"/>
          <w:i/>
          <w:iCs/>
          <w:sz w:val="24"/>
          <w:szCs w:val="24"/>
          <w:u w:val="single"/>
        </w:rPr>
        <w:t>.</w:t>
      </w:r>
      <w:proofErr w:type="spellStart"/>
      <w:r w:rsidR="001039F3" w:rsidRPr="001039F3">
        <w:rPr>
          <w:rFonts w:asciiTheme="majorBidi" w:hAnsiTheme="majorBidi" w:cstheme="majorBidi"/>
          <w:i/>
          <w:iCs/>
          <w:sz w:val="24"/>
          <w:szCs w:val="24"/>
          <w:u w:val="single"/>
          <w:lang w:val="de-DE"/>
        </w:rPr>
        <w:t>com</w:t>
      </w:r>
      <w:proofErr w:type="spellEnd"/>
    </w:p>
    <w:p w14:paraId="21CB1065" w14:textId="1B9DFD24" w:rsidR="001039F3" w:rsidRDefault="002A7574" w:rsidP="00B37A0B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 1980-х гг. Турция реализует стратегию диверсификации экспортных потоков. При этом </w:t>
      </w:r>
      <w:r w:rsidR="00415725">
        <w:rPr>
          <w:rFonts w:ascii="Times New Roman" w:hAnsi="Times New Roman" w:cs="Times New Roman"/>
          <w:sz w:val="24"/>
          <w:szCs w:val="24"/>
          <w:lang w:eastAsia="en-US"/>
        </w:rPr>
        <w:t>данный процесс характеризуется не только изменением структуры товарооборота Турции, но и расширением географических партнеров. Постепенно, в особенности это стало наблюдаться в период правления Партии справедливости и развития (ПСР), в орбиту внешнеэкономических интересов Турции</w:t>
      </w:r>
      <w:r w:rsidR="005809E8">
        <w:rPr>
          <w:rFonts w:ascii="Times New Roman" w:hAnsi="Times New Roman" w:cs="Times New Roman"/>
          <w:sz w:val="24"/>
          <w:szCs w:val="24"/>
          <w:lang w:eastAsia="en-US"/>
        </w:rPr>
        <w:t xml:space="preserve"> стали входить регионы, ранее не вызывавшие значительного интереса со стороны Турецкой Республики. В частности, наиболее ярким представителем данного процесса является Африканский континент. </w:t>
      </w:r>
    </w:p>
    <w:p w14:paraId="38B45841" w14:textId="0BAB8F26" w:rsidR="005809E8" w:rsidRDefault="003C6116" w:rsidP="00B37A0B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Данные </w:t>
      </w:r>
      <w:r w:rsidR="00A0303E">
        <w:rPr>
          <w:rFonts w:ascii="Times New Roman" w:hAnsi="Times New Roman" w:cs="Times New Roman"/>
          <w:sz w:val="24"/>
          <w:szCs w:val="24"/>
          <w:lang w:eastAsia="en-US"/>
        </w:rPr>
        <w:t xml:space="preserve">события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поднимают ряд вопросов о методологии анализа новых тенденций во внешней торговле Турции. Существует ряд оснований полагать, что абсолютные значения экспорта и импорта не позволяют достаточно точно</w:t>
      </w:r>
      <w:r w:rsidR="00AA7A8E">
        <w:rPr>
          <w:rFonts w:ascii="Times New Roman" w:hAnsi="Times New Roman" w:cs="Times New Roman"/>
          <w:sz w:val="24"/>
          <w:szCs w:val="24"/>
          <w:lang w:eastAsia="en-US"/>
        </w:rPr>
        <w:t xml:space="preserve"> охарактеризовать структуру торговли. </w:t>
      </w:r>
      <w:r>
        <w:rPr>
          <w:rFonts w:ascii="Times New Roman" w:hAnsi="Times New Roman" w:cs="Times New Roman"/>
          <w:sz w:val="24"/>
          <w:szCs w:val="24"/>
          <w:lang w:eastAsia="en-US"/>
        </w:rPr>
        <w:t>Так, например остается актуальным вопрос о распространенности той или иной товарной группы в двусторонних торговых потоках.</w:t>
      </w:r>
    </w:p>
    <w:p w14:paraId="0C5B44F2" w14:textId="01A09CCA" w:rsidR="00AA7A8E" w:rsidRPr="004F0184" w:rsidRDefault="00AA7A8E" w:rsidP="00B37A0B">
      <w:p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качестве возможного решения 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данной </w:t>
      </w:r>
      <w:r w:rsidR="004F0184"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проблемы </w:t>
      </w:r>
      <w:r w:rsidR="001E021E"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может быть использована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концепция «трендовых товарных групп»</w:t>
      </w:r>
      <w:r w:rsidR="001E021E"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, разработанная автором на основе анализа турецко-африканского товарооборота. </w:t>
      </w:r>
    </w:p>
    <w:p w14:paraId="58458D9D" w14:textId="72E60578" w:rsidR="00480A9E" w:rsidRDefault="002270EB" w:rsidP="00B37A0B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«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Трендов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ая группа/товар»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– это 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категория</w:t>
      </w:r>
      <w:r w:rsidR="00E4426D"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F533D9"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(</w:t>
      </w:r>
      <w:r w:rsidR="00156C4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3 знака по </w:t>
      </w:r>
      <w:r w:rsidR="00156C46" w:rsidRPr="00156C4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Международной Стандартной торговой классификации (Standard International Trade Classification (SITC </w:t>
      </w:r>
      <w:proofErr w:type="spellStart"/>
      <w:r w:rsidR="00156C46" w:rsidRPr="00156C4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Rev</w:t>
      </w:r>
      <w:proofErr w:type="spellEnd"/>
      <w:r w:rsidR="00156C46" w:rsidRPr="00156C4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 3)</w:t>
      </w:r>
      <w:r w:rsidR="00156C4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)</w:t>
      </w:r>
      <w:r w:rsidR="00156C46" w:rsidRPr="00156C4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котор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ая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занимает больше 5% в течение минимум 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пяти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лет подряд или с перерывами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не более чем в один год 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 </w:t>
      </w:r>
      <w:r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торговых потоках между двумя государствами. </w:t>
      </w:r>
      <w:r w:rsidR="00480A9E"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Применительно к турецко-африканскому товарообороту данный метод был применен на данных двух временных периодов (1990–2002  гг.) и (2003–2022  гг.). Данное разделение было произведено на основании</w:t>
      </w:r>
      <w:r w:rsidR="00F533D9"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того</w:t>
      </w:r>
      <w:r w:rsidR="00480A9E"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, что </w:t>
      </w:r>
      <w:r w:rsidR="00480A9E" w:rsidRPr="004F018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2001 г. является последним годом, когда импорт Турецкой Республики из Африканского </w:t>
      </w:r>
      <w:r w:rsidR="00480A9E" w:rsidRPr="00480A9E">
        <w:rPr>
          <w:rFonts w:ascii="Times New Roman" w:hAnsi="Times New Roman" w:cs="Times New Roman"/>
          <w:sz w:val="24"/>
          <w:szCs w:val="24"/>
          <w:lang w:eastAsia="en-US"/>
        </w:rPr>
        <w:t xml:space="preserve">континента превышал ее экспорт туда. Из этого следует, что </w:t>
      </w:r>
      <w:r w:rsidR="00480A9E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 w:rsidR="00480A9E" w:rsidRPr="00480A9E">
        <w:rPr>
          <w:rFonts w:ascii="Times New Roman" w:hAnsi="Times New Roman" w:cs="Times New Roman"/>
          <w:sz w:val="24"/>
          <w:szCs w:val="24"/>
          <w:lang w:eastAsia="en-US"/>
        </w:rPr>
        <w:t>200</w:t>
      </w:r>
      <w:r w:rsidR="00480A9E">
        <w:rPr>
          <w:rFonts w:ascii="Times New Roman" w:hAnsi="Times New Roman" w:cs="Times New Roman"/>
          <w:sz w:val="24"/>
          <w:szCs w:val="24"/>
          <w:lang w:eastAsia="en-US"/>
        </w:rPr>
        <w:t xml:space="preserve">0-е гг. начали происходить существенные изменения в рамках структуры двустороннего товарооборота. </w:t>
      </w:r>
      <w:r w:rsidR="00390C04">
        <w:rPr>
          <w:rFonts w:ascii="Times New Roman" w:hAnsi="Times New Roman" w:cs="Times New Roman"/>
          <w:sz w:val="24"/>
          <w:szCs w:val="24"/>
          <w:lang w:eastAsia="en-US"/>
        </w:rPr>
        <w:t xml:space="preserve">Необходимо сказать, что у  использованных товарных </w:t>
      </w:r>
      <w:r w:rsidR="00390C04" w:rsidRPr="00390C04">
        <w:rPr>
          <w:rFonts w:ascii="Times New Roman" w:hAnsi="Times New Roman" w:cs="Times New Roman"/>
          <w:sz w:val="24"/>
          <w:szCs w:val="24"/>
          <w:lang w:eastAsia="en-US"/>
        </w:rPr>
        <w:t>групп нет жесткой привязки к годам. В список «До 2002</w:t>
      </w:r>
      <w:r w:rsidR="00A0430A">
        <w:rPr>
          <w:rFonts w:ascii="Times New Roman" w:hAnsi="Times New Roman" w:cs="Times New Roman"/>
          <w:sz w:val="24"/>
          <w:szCs w:val="24"/>
          <w:lang w:eastAsia="en-US"/>
        </w:rPr>
        <w:t xml:space="preserve"> г.</w:t>
      </w:r>
      <w:r w:rsidR="00390C04" w:rsidRPr="00390C04">
        <w:rPr>
          <w:rFonts w:ascii="Times New Roman" w:hAnsi="Times New Roman" w:cs="Times New Roman"/>
          <w:sz w:val="24"/>
          <w:szCs w:val="24"/>
          <w:lang w:eastAsia="en-US"/>
        </w:rPr>
        <w:t>» попадали в равной степени как товары, торгуемые с 1990 по 1995, так и с 1995 по 2002. Для группы «После 2002</w:t>
      </w:r>
      <w:r w:rsidR="00A0430A">
        <w:rPr>
          <w:rFonts w:ascii="Times New Roman" w:hAnsi="Times New Roman" w:cs="Times New Roman"/>
          <w:sz w:val="24"/>
          <w:szCs w:val="24"/>
          <w:lang w:eastAsia="en-US"/>
        </w:rPr>
        <w:t xml:space="preserve"> г.</w:t>
      </w:r>
      <w:r w:rsidR="00390C04" w:rsidRPr="00390C04">
        <w:rPr>
          <w:rFonts w:ascii="Times New Roman" w:hAnsi="Times New Roman" w:cs="Times New Roman"/>
          <w:sz w:val="24"/>
          <w:szCs w:val="24"/>
          <w:lang w:eastAsia="en-US"/>
        </w:rPr>
        <w:t>» применялся такой же механизм, в одном списке присутствуют товары, торгуемые как, например, с 2002 по 2007, так и 2015 по 2023. То есть, даже если товар не присутствует в торговой статистике за 2022 г., хотя присутствовал в ней в начале 2000-х г., он все равно зачисляется в таблицу «После 2002».</w:t>
      </w:r>
      <w:r w:rsidR="00390C04">
        <w:rPr>
          <w:rFonts w:ascii="Times New Roman" w:hAnsi="Times New Roman" w:cs="Times New Roman"/>
          <w:sz w:val="24"/>
          <w:szCs w:val="24"/>
          <w:lang w:eastAsia="en-US"/>
        </w:rPr>
        <w:t xml:space="preserve"> Таким образом «трендовые группы» являются не столько инструментом измерения доходности той или иной товарной группы, сколько демонстрируют популярность и распространенность товарной группы на континенте</w:t>
      </w:r>
      <w:r w:rsidR="0038054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066EDAF" w14:textId="7D6CCC58" w:rsidR="00E4426D" w:rsidRDefault="00E4426D" w:rsidP="00B37A0B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4426D">
        <w:rPr>
          <w:rFonts w:ascii="Times New Roman" w:hAnsi="Times New Roman" w:cs="Times New Roman"/>
          <w:sz w:val="24"/>
          <w:szCs w:val="24"/>
          <w:lang w:eastAsia="en-US"/>
        </w:rPr>
        <w:t xml:space="preserve">Благодаря этим данным </w:t>
      </w:r>
      <w:r>
        <w:rPr>
          <w:rFonts w:ascii="Times New Roman" w:hAnsi="Times New Roman" w:cs="Times New Roman"/>
          <w:sz w:val="24"/>
          <w:szCs w:val="24"/>
          <w:lang w:eastAsia="en-US"/>
        </w:rPr>
        <w:t>становится возможным</w:t>
      </w:r>
      <w:r w:rsidRPr="00E4426D">
        <w:rPr>
          <w:rFonts w:ascii="Times New Roman" w:hAnsi="Times New Roman" w:cs="Times New Roman"/>
          <w:sz w:val="24"/>
          <w:szCs w:val="24"/>
          <w:lang w:eastAsia="en-US"/>
        </w:rPr>
        <w:t xml:space="preserve"> понять, какие товары преобладали в торговле до 2002 г., и какие товары стали преобладать впоследствии. Также, это позволяет примерно установить к воспроизводству какой товарной структуры в отношениях с африканскими государствами стремилась Турция по мере охвата торговыми отношениями новых государств континента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(в большей степени стран Тропической Африки)</w:t>
      </w:r>
      <w:r w:rsidRPr="00E4426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02629CD" w14:textId="0069ABBC" w:rsidR="00C02088" w:rsidRDefault="002270EB" w:rsidP="00B37A0B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270EB">
        <w:rPr>
          <w:rFonts w:ascii="Times New Roman" w:hAnsi="Times New Roman" w:cs="Times New Roman"/>
          <w:sz w:val="24"/>
          <w:szCs w:val="24"/>
          <w:lang w:eastAsia="en-US"/>
        </w:rPr>
        <w:t xml:space="preserve">Таким образом, в той или иной стране </w:t>
      </w:r>
      <w:r w:rsidR="00E4426D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Pr="002270EB">
        <w:rPr>
          <w:rFonts w:ascii="Times New Roman" w:hAnsi="Times New Roman" w:cs="Times New Roman"/>
          <w:sz w:val="24"/>
          <w:szCs w:val="24"/>
          <w:lang w:eastAsia="en-US"/>
        </w:rPr>
        <w:t>трендовыми</w:t>
      </w:r>
      <w:r w:rsidR="00E4426D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2270EB">
        <w:rPr>
          <w:rFonts w:ascii="Times New Roman" w:hAnsi="Times New Roman" w:cs="Times New Roman"/>
          <w:sz w:val="24"/>
          <w:szCs w:val="24"/>
          <w:lang w:eastAsia="en-US"/>
        </w:rPr>
        <w:t xml:space="preserve"> становилось несколько товаров Некоторые товары становились трендовыми в </w:t>
      </w:r>
      <w:r w:rsidR="00E4426D">
        <w:rPr>
          <w:rFonts w:ascii="Times New Roman" w:hAnsi="Times New Roman" w:cs="Times New Roman"/>
          <w:sz w:val="24"/>
          <w:szCs w:val="24"/>
          <w:lang w:eastAsia="en-US"/>
        </w:rPr>
        <w:t xml:space="preserve">ряде государств. </w:t>
      </w:r>
      <w:r w:rsidR="00E4426D" w:rsidRPr="00E4426D">
        <w:rPr>
          <w:rFonts w:ascii="Times New Roman" w:hAnsi="Times New Roman" w:cs="Times New Roman"/>
          <w:sz w:val="24"/>
          <w:szCs w:val="24"/>
          <w:lang w:eastAsia="en-US"/>
        </w:rPr>
        <w:t>Ключевой вывод заключается в том, что c течением времени («После 2002</w:t>
      </w:r>
      <w:r w:rsidR="00E4426D">
        <w:rPr>
          <w:rFonts w:ascii="Times New Roman" w:hAnsi="Times New Roman" w:cs="Times New Roman"/>
          <w:sz w:val="24"/>
          <w:szCs w:val="24"/>
          <w:lang w:eastAsia="en-US"/>
        </w:rPr>
        <w:t xml:space="preserve"> г.</w:t>
      </w:r>
      <w:r w:rsidR="00E4426D" w:rsidRPr="00E4426D">
        <w:rPr>
          <w:rFonts w:ascii="Times New Roman" w:hAnsi="Times New Roman" w:cs="Times New Roman"/>
          <w:sz w:val="24"/>
          <w:szCs w:val="24"/>
          <w:lang w:eastAsia="en-US"/>
        </w:rPr>
        <w:t xml:space="preserve">») основными «трендовыми» экспортными товарными группами по числу стран-потребителей становились группы 676 (38 стран), </w:t>
      </w:r>
      <w:r w:rsidR="004473F4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E4426D" w:rsidRPr="00E4426D">
        <w:rPr>
          <w:rFonts w:ascii="Times New Roman" w:hAnsi="Times New Roman" w:cs="Times New Roman"/>
          <w:sz w:val="24"/>
          <w:szCs w:val="24"/>
          <w:lang w:eastAsia="en-US"/>
        </w:rPr>
        <w:t xml:space="preserve">48 (29 стран), </w:t>
      </w:r>
      <w:r w:rsidR="004473F4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E4426D" w:rsidRPr="00E4426D">
        <w:rPr>
          <w:rFonts w:ascii="Times New Roman" w:hAnsi="Times New Roman" w:cs="Times New Roman"/>
          <w:sz w:val="24"/>
          <w:szCs w:val="24"/>
          <w:lang w:eastAsia="en-US"/>
        </w:rPr>
        <w:t xml:space="preserve">98 (23 стран), </w:t>
      </w:r>
      <w:r w:rsidR="004473F4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E4426D" w:rsidRPr="00E4426D">
        <w:rPr>
          <w:rFonts w:ascii="Times New Roman" w:hAnsi="Times New Roman" w:cs="Times New Roman"/>
          <w:sz w:val="24"/>
          <w:szCs w:val="24"/>
          <w:lang w:eastAsia="en-US"/>
        </w:rPr>
        <w:t xml:space="preserve">46 (21 страна), 661 (16 стран). </w:t>
      </w:r>
      <w:r w:rsidR="004473F4">
        <w:rPr>
          <w:rFonts w:ascii="Times New Roman" w:hAnsi="Times New Roman" w:cs="Times New Roman"/>
          <w:sz w:val="24"/>
          <w:szCs w:val="24"/>
          <w:lang w:eastAsia="en-US"/>
        </w:rPr>
        <w:t xml:space="preserve">Однако, несмотря </w:t>
      </w:r>
      <w:r w:rsidR="004473F4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на высокий уровень популярности, некоторые «трендовые группы» не обеспечивают высоких значений экспорта в абсолютном выражении. Например, товарная категория 098.</w:t>
      </w:r>
    </w:p>
    <w:p w14:paraId="76D7F6D0" w14:textId="6712A442" w:rsidR="002270EB" w:rsidRDefault="00E4426D" w:rsidP="00B37A0B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4426D">
        <w:rPr>
          <w:rFonts w:ascii="Times New Roman" w:hAnsi="Times New Roman" w:cs="Times New Roman"/>
          <w:sz w:val="24"/>
          <w:szCs w:val="24"/>
          <w:lang w:eastAsia="en-US"/>
        </w:rPr>
        <w:t xml:space="preserve">В качестве основных вывозных «трендовых» товарных групп </w:t>
      </w:r>
      <w:r w:rsidR="00A0430A">
        <w:rPr>
          <w:rFonts w:ascii="Times New Roman" w:hAnsi="Times New Roman" w:cs="Times New Roman"/>
          <w:sz w:val="24"/>
          <w:szCs w:val="24"/>
          <w:lang w:eastAsia="en-US"/>
        </w:rPr>
        <w:t xml:space="preserve">такими стали </w:t>
      </w:r>
      <w:r w:rsidRPr="00E4426D">
        <w:rPr>
          <w:rFonts w:ascii="Times New Roman" w:hAnsi="Times New Roman" w:cs="Times New Roman"/>
          <w:sz w:val="24"/>
          <w:szCs w:val="24"/>
          <w:lang w:eastAsia="en-US"/>
        </w:rPr>
        <w:t xml:space="preserve">группы 222 (18 стран), 247 (8 стран), 263 (7 стран), 971 (7 стран). Тем не менее, </w:t>
      </w:r>
      <w:r w:rsidR="00777D2F">
        <w:rPr>
          <w:rFonts w:ascii="Times New Roman" w:hAnsi="Times New Roman" w:cs="Times New Roman"/>
          <w:sz w:val="24"/>
          <w:szCs w:val="24"/>
          <w:lang w:eastAsia="en-US"/>
        </w:rPr>
        <w:t xml:space="preserve">так </w:t>
      </w:r>
      <w:r w:rsidR="00CA33A4">
        <w:rPr>
          <w:rFonts w:ascii="Times New Roman" w:hAnsi="Times New Roman" w:cs="Times New Roman"/>
          <w:sz w:val="24"/>
          <w:szCs w:val="24"/>
          <w:lang w:eastAsia="en-US"/>
        </w:rPr>
        <w:t>же,</w:t>
      </w:r>
      <w:r w:rsidR="00777D2F">
        <w:rPr>
          <w:rFonts w:ascii="Times New Roman" w:hAnsi="Times New Roman" w:cs="Times New Roman"/>
          <w:sz w:val="24"/>
          <w:szCs w:val="24"/>
          <w:lang w:eastAsia="en-US"/>
        </w:rPr>
        <w:t xml:space="preserve"> как и в экспортных потоках </w:t>
      </w:r>
      <w:r w:rsidRPr="00E4426D">
        <w:rPr>
          <w:rFonts w:ascii="Times New Roman" w:hAnsi="Times New Roman" w:cs="Times New Roman"/>
          <w:sz w:val="24"/>
          <w:szCs w:val="24"/>
          <w:lang w:eastAsia="en-US"/>
        </w:rPr>
        <w:t>несмотря на их устойчивую позицию в турецком импорте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из Африки по популярности</w:t>
      </w:r>
      <w:r w:rsidRPr="00E4426D">
        <w:rPr>
          <w:rFonts w:ascii="Times New Roman" w:hAnsi="Times New Roman" w:cs="Times New Roman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абсолютных значениях доля</w:t>
      </w:r>
      <w:r w:rsidR="00777D2F">
        <w:rPr>
          <w:rFonts w:ascii="Times New Roman" w:hAnsi="Times New Roman" w:cs="Times New Roman"/>
          <w:sz w:val="24"/>
          <w:szCs w:val="24"/>
          <w:lang w:eastAsia="en-US"/>
        </w:rPr>
        <w:t xml:space="preserve"> «трендовых» товарных групп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4426D">
        <w:rPr>
          <w:rFonts w:ascii="Times New Roman" w:hAnsi="Times New Roman" w:cs="Times New Roman"/>
          <w:sz w:val="24"/>
          <w:szCs w:val="24"/>
          <w:lang w:eastAsia="en-US"/>
        </w:rPr>
        <w:t xml:space="preserve">за редким исключением весьма несущественна. </w:t>
      </w:r>
      <w:r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E4426D">
        <w:rPr>
          <w:rFonts w:ascii="Times New Roman" w:hAnsi="Times New Roman" w:cs="Times New Roman"/>
          <w:sz w:val="24"/>
          <w:szCs w:val="24"/>
          <w:lang w:eastAsia="en-US"/>
        </w:rPr>
        <w:t>оминирую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щие позиции там </w:t>
      </w:r>
      <w:r w:rsidRPr="00E4426D">
        <w:rPr>
          <w:rFonts w:ascii="Times New Roman" w:hAnsi="Times New Roman" w:cs="Times New Roman"/>
          <w:sz w:val="24"/>
          <w:szCs w:val="24"/>
          <w:lang w:eastAsia="en-US"/>
        </w:rPr>
        <w:t xml:space="preserve">в основном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занимают </w:t>
      </w:r>
      <w:r w:rsidRPr="00E4426D">
        <w:rPr>
          <w:rFonts w:ascii="Times New Roman" w:hAnsi="Times New Roman" w:cs="Times New Roman"/>
          <w:sz w:val="24"/>
          <w:szCs w:val="24"/>
          <w:lang w:eastAsia="en-US"/>
        </w:rPr>
        <w:t xml:space="preserve">продукты минерального происхождения или продукция нефтехимической отрасли. </w:t>
      </w:r>
    </w:p>
    <w:p w14:paraId="6A8D4152" w14:textId="051B9533" w:rsidR="0084615E" w:rsidRPr="0084615E" w:rsidRDefault="0084615E" w:rsidP="00B37A0B">
      <w:pPr>
        <w:spacing w:after="160"/>
        <w:rPr>
          <w:rFonts w:ascii="Times New Roman" w:hAnsi="Times New Roman" w:cs="Times New Roman"/>
          <w:sz w:val="24"/>
          <w:szCs w:val="24"/>
          <w:lang w:eastAsia="en-US"/>
        </w:rPr>
      </w:pPr>
      <w:r w:rsidRPr="0084615E">
        <w:rPr>
          <w:rFonts w:ascii="Times New Roman" w:hAnsi="Times New Roman" w:cs="Times New Roman"/>
          <w:sz w:val="24"/>
          <w:szCs w:val="24"/>
          <w:lang w:eastAsia="en-US"/>
        </w:rPr>
        <w:t>676 - Пруток, катанка, ушки, профили и сортовой прокат из черных металлов (включая сварочное железо)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80FCF2A" w14:textId="0E377556" w:rsidR="0084615E" w:rsidRPr="0084615E" w:rsidRDefault="0084615E" w:rsidP="00B37A0B">
      <w:pPr>
        <w:spacing w:after="160"/>
        <w:rPr>
          <w:rFonts w:ascii="Times New Roman" w:hAnsi="Times New Roman" w:cs="Times New Roman"/>
          <w:sz w:val="24"/>
          <w:szCs w:val="24"/>
          <w:lang w:eastAsia="en-US"/>
        </w:rPr>
      </w:pPr>
      <w:r w:rsidRPr="0084615E">
        <w:rPr>
          <w:rFonts w:ascii="Times New Roman" w:hAnsi="Times New Roman" w:cs="Times New Roman"/>
          <w:sz w:val="24"/>
          <w:szCs w:val="24"/>
          <w:lang w:eastAsia="en-US"/>
        </w:rPr>
        <w:t>48 – Продукты из зерновых и продукты из муки или крахмала, фруктового или овощного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218B5913" w14:textId="009D1360" w:rsidR="0084615E" w:rsidRPr="0084615E" w:rsidRDefault="0084615E" w:rsidP="00B37A0B">
      <w:pPr>
        <w:spacing w:after="160"/>
        <w:rPr>
          <w:rFonts w:ascii="Times New Roman" w:hAnsi="Times New Roman" w:cs="Times New Roman"/>
          <w:sz w:val="24"/>
          <w:szCs w:val="24"/>
          <w:lang w:eastAsia="en-US"/>
        </w:rPr>
      </w:pPr>
      <w:r w:rsidRPr="0084615E">
        <w:rPr>
          <w:rFonts w:ascii="Times New Roman" w:hAnsi="Times New Roman" w:cs="Times New Roman"/>
          <w:sz w:val="24"/>
          <w:szCs w:val="24"/>
          <w:lang w:eastAsia="en-US"/>
        </w:rPr>
        <w:t xml:space="preserve">46 - Мука грубого и тонкого помола, пшеничная и </w:t>
      </w:r>
      <w:proofErr w:type="spellStart"/>
      <w:r w:rsidRPr="0084615E">
        <w:rPr>
          <w:rFonts w:ascii="Times New Roman" w:hAnsi="Times New Roman" w:cs="Times New Roman"/>
          <w:sz w:val="24"/>
          <w:szCs w:val="24"/>
          <w:lang w:eastAsia="en-US"/>
        </w:rPr>
        <w:t>суржиковая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9E4E712" w14:textId="24FD0705" w:rsidR="0084615E" w:rsidRPr="0084615E" w:rsidRDefault="0084615E" w:rsidP="00B37A0B">
      <w:pPr>
        <w:spacing w:after="160"/>
        <w:rPr>
          <w:rFonts w:ascii="Times New Roman" w:hAnsi="Times New Roman" w:cs="Times New Roman"/>
          <w:sz w:val="24"/>
          <w:szCs w:val="24"/>
          <w:lang w:eastAsia="en-US"/>
        </w:rPr>
      </w:pPr>
      <w:r w:rsidRPr="0084615E">
        <w:rPr>
          <w:rFonts w:ascii="Times New Roman" w:hAnsi="Times New Roman" w:cs="Times New Roman"/>
          <w:sz w:val="24"/>
          <w:szCs w:val="24"/>
          <w:lang w:eastAsia="en-US"/>
        </w:rPr>
        <w:t>98 – Пищевые продукты и препараты, не включенные в другие категории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5D818E14" w14:textId="1A0306B0" w:rsidR="0084615E" w:rsidRPr="0084615E" w:rsidRDefault="0084615E" w:rsidP="00B37A0B">
      <w:pPr>
        <w:spacing w:after="160"/>
        <w:rPr>
          <w:rFonts w:ascii="Times New Roman" w:hAnsi="Times New Roman" w:cs="Times New Roman"/>
          <w:sz w:val="24"/>
          <w:szCs w:val="24"/>
          <w:lang w:eastAsia="en-US"/>
        </w:rPr>
      </w:pPr>
      <w:r w:rsidRPr="0084615E">
        <w:rPr>
          <w:rFonts w:ascii="Times New Roman" w:hAnsi="Times New Roman" w:cs="Times New Roman"/>
          <w:sz w:val="24"/>
          <w:szCs w:val="24"/>
          <w:lang w:eastAsia="en-US"/>
        </w:rPr>
        <w:t>661 – Известь, цемент и обработанные строительные материалы (кроме материалов из стекла и глины)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E348EE0" w14:textId="012451F0" w:rsidR="0084615E" w:rsidRPr="0084615E" w:rsidRDefault="0084615E" w:rsidP="00B37A0B">
      <w:pPr>
        <w:spacing w:after="160"/>
        <w:rPr>
          <w:rFonts w:ascii="Times New Roman" w:hAnsi="Times New Roman" w:cs="Times New Roman"/>
          <w:sz w:val="24"/>
          <w:szCs w:val="24"/>
          <w:lang w:eastAsia="en-US"/>
        </w:rPr>
      </w:pPr>
      <w:r w:rsidRPr="0084615E">
        <w:rPr>
          <w:rFonts w:ascii="Times New Roman" w:hAnsi="Times New Roman" w:cs="Times New Roman"/>
          <w:sz w:val="24"/>
          <w:szCs w:val="24"/>
          <w:lang w:eastAsia="en-US"/>
        </w:rPr>
        <w:t>222 – Масличные семена и масличные плоды, пригодные для получения «мягких» растительных масел (исключая муку тонкого и грубого помола)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5159F9A5" w14:textId="289672E2" w:rsidR="0084615E" w:rsidRPr="0084615E" w:rsidRDefault="0084615E" w:rsidP="00B37A0B">
      <w:pPr>
        <w:spacing w:after="160"/>
        <w:rPr>
          <w:rFonts w:ascii="Times New Roman" w:hAnsi="Times New Roman" w:cs="Times New Roman"/>
          <w:sz w:val="24"/>
          <w:szCs w:val="24"/>
          <w:lang w:eastAsia="en-US"/>
        </w:rPr>
      </w:pPr>
      <w:r w:rsidRPr="0084615E">
        <w:rPr>
          <w:rFonts w:ascii="Times New Roman" w:hAnsi="Times New Roman" w:cs="Times New Roman"/>
          <w:sz w:val="24"/>
          <w:szCs w:val="24"/>
          <w:lang w:eastAsia="en-US"/>
        </w:rPr>
        <w:t>247 – Древесина нетесаная (очищенная или не очищенная от коры и заболони) или грубо тесанная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03CB19B8" w14:textId="2EC21940" w:rsidR="0084615E" w:rsidRPr="0084615E" w:rsidRDefault="0084615E" w:rsidP="00B37A0B">
      <w:pPr>
        <w:spacing w:after="160"/>
        <w:rPr>
          <w:rFonts w:ascii="Times New Roman" w:hAnsi="Times New Roman" w:cs="Times New Roman"/>
          <w:sz w:val="24"/>
          <w:szCs w:val="24"/>
          <w:lang w:eastAsia="en-US"/>
        </w:rPr>
      </w:pPr>
      <w:r w:rsidRPr="0084615E">
        <w:rPr>
          <w:rFonts w:ascii="Times New Roman" w:hAnsi="Times New Roman" w:cs="Times New Roman"/>
          <w:sz w:val="24"/>
          <w:szCs w:val="24"/>
          <w:lang w:eastAsia="en-US"/>
        </w:rPr>
        <w:t>263 – Хлопок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BB1F72F" w14:textId="1A925835" w:rsidR="0084615E" w:rsidRDefault="0084615E" w:rsidP="00B37A0B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4615E">
        <w:rPr>
          <w:rFonts w:ascii="Times New Roman" w:hAnsi="Times New Roman" w:cs="Times New Roman"/>
          <w:sz w:val="24"/>
          <w:szCs w:val="24"/>
          <w:lang w:eastAsia="en-US"/>
        </w:rPr>
        <w:t>971 – Золото, немонетарное (кроме золотых руд и концентратов)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90EBF53" w14:textId="44B08A9D" w:rsidR="001E021E" w:rsidRPr="002270EB" w:rsidRDefault="00CA33A4" w:rsidP="00B37A0B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Полученные результаты позволяют </w:t>
      </w:r>
      <w:r w:rsidR="006A5B40">
        <w:rPr>
          <w:rFonts w:ascii="Times New Roman" w:hAnsi="Times New Roman" w:cs="Times New Roman"/>
          <w:sz w:val="24"/>
          <w:szCs w:val="24"/>
          <w:lang w:eastAsia="en-US"/>
        </w:rPr>
        <w:t xml:space="preserve">сформулировать несколько выводов. Можно предположить, что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экспорт Турции в Африку существует </w:t>
      </w:r>
      <w:r w:rsidR="006A5B40">
        <w:rPr>
          <w:rFonts w:ascii="Times New Roman" w:hAnsi="Times New Roman" w:cs="Times New Roman"/>
          <w:sz w:val="24"/>
          <w:szCs w:val="24"/>
          <w:lang w:eastAsia="en-US"/>
        </w:rPr>
        <w:t>как бы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двух измерениях: доходности для Турции и популяризации турецкой продукции на африканском континенте</w:t>
      </w:r>
      <w:r w:rsidR="006A5B40">
        <w:rPr>
          <w:rFonts w:ascii="Times New Roman" w:hAnsi="Times New Roman" w:cs="Times New Roman"/>
          <w:sz w:val="24"/>
          <w:szCs w:val="24"/>
          <w:lang w:eastAsia="en-US"/>
        </w:rPr>
        <w:t xml:space="preserve"> (что не исключает и зачастую приводит по итогу к первому)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CA1728">
        <w:rPr>
          <w:rFonts w:ascii="Times New Roman" w:hAnsi="Times New Roman" w:cs="Times New Roman"/>
          <w:sz w:val="24"/>
          <w:szCs w:val="24"/>
          <w:lang w:eastAsia="en-US"/>
        </w:rPr>
        <w:t>Также</w:t>
      </w:r>
      <w:r w:rsidR="005C5AFC">
        <w:rPr>
          <w:rFonts w:ascii="Times New Roman" w:hAnsi="Times New Roman" w:cs="Times New Roman"/>
          <w:sz w:val="24"/>
          <w:szCs w:val="24"/>
          <w:lang w:eastAsia="en-US"/>
        </w:rPr>
        <w:t xml:space="preserve">, становится очевидным что Турция реализует разные стратегии для экспорта и импорта во взаимоотношениях с Африканским континентом. Если в экспортных потоках Турция старается установить устойчивое положение избранного набора товарных групп как в можно большем количестве государств, то в случае импорта Турция старается вести точечный вывоз определенной товарной группы из каждой страны. </w:t>
      </w:r>
    </w:p>
    <w:p w14:paraId="47F70009" w14:textId="77777777" w:rsidR="00BF7046" w:rsidRPr="006408C9" w:rsidRDefault="00B80C80" w:rsidP="00BF7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Источники</w:t>
      </w:r>
      <w:r w:rsidRPr="0064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1D70989A" w14:textId="3022F3FD" w:rsidR="007A1DE5" w:rsidRPr="006408C9" w:rsidRDefault="007A1DE5" w:rsidP="00BF70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F70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MFA (Republic of Türkiye Ministry of Foreign Affairs): TÜRKİYE-AFRICA RELATIONS. URL: https://www.mfa.gov.tr/turkiye-africa-relations.en.mfa</w:t>
      </w:r>
    </w:p>
    <w:p w14:paraId="2945366F" w14:textId="73BA89BE" w:rsidR="00B80C80" w:rsidRDefault="00C93317" w:rsidP="00BF70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WITS (World Integrated Trade Solution) World Bank. URL: </w:t>
      </w:r>
      <w:r w:rsidR="0084615E" w:rsidRPr="00A305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https://wits.worldbank.org/</w:t>
      </w:r>
    </w:p>
    <w:p w14:paraId="708704A3" w14:textId="77777777" w:rsidR="0084615E" w:rsidRDefault="0084615E" w:rsidP="008461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96F7951" w14:textId="1F2D5A93" w:rsidR="0084615E" w:rsidRPr="00A305BE" w:rsidRDefault="0084615E" w:rsidP="008461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84615E" w:rsidRPr="00A305B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4AE1"/>
    <w:multiLevelType w:val="hybridMultilevel"/>
    <w:tmpl w:val="9EF6C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91C73"/>
    <w:multiLevelType w:val="hybridMultilevel"/>
    <w:tmpl w:val="1BA6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674475">
    <w:abstractNumId w:val="1"/>
  </w:num>
  <w:num w:numId="2" w16cid:durableId="36013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F3"/>
    <w:rsid w:val="000007D1"/>
    <w:rsid w:val="00083E70"/>
    <w:rsid w:val="000967D7"/>
    <w:rsid w:val="001039F3"/>
    <w:rsid w:val="001119E4"/>
    <w:rsid w:val="00156C46"/>
    <w:rsid w:val="001E021E"/>
    <w:rsid w:val="002270EB"/>
    <w:rsid w:val="00275BB0"/>
    <w:rsid w:val="002A6A2D"/>
    <w:rsid w:val="002A7574"/>
    <w:rsid w:val="002C13F5"/>
    <w:rsid w:val="003567BA"/>
    <w:rsid w:val="00380542"/>
    <w:rsid w:val="00390C04"/>
    <w:rsid w:val="003C6116"/>
    <w:rsid w:val="00415725"/>
    <w:rsid w:val="004473F4"/>
    <w:rsid w:val="004762C6"/>
    <w:rsid w:val="00480A9E"/>
    <w:rsid w:val="004F0184"/>
    <w:rsid w:val="004F14BC"/>
    <w:rsid w:val="005809E8"/>
    <w:rsid w:val="005C5AFC"/>
    <w:rsid w:val="005E386D"/>
    <w:rsid w:val="006347A8"/>
    <w:rsid w:val="006408C9"/>
    <w:rsid w:val="006A5B40"/>
    <w:rsid w:val="006B339E"/>
    <w:rsid w:val="006D6565"/>
    <w:rsid w:val="00777D2F"/>
    <w:rsid w:val="00784ED0"/>
    <w:rsid w:val="007A1DE5"/>
    <w:rsid w:val="007B4530"/>
    <w:rsid w:val="0084615E"/>
    <w:rsid w:val="00884E49"/>
    <w:rsid w:val="0093713A"/>
    <w:rsid w:val="00A0303E"/>
    <w:rsid w:val="00A039BB"/>
    <w:rsid w:val="00A0430A"/>
    <w:rsid w:val="00A305BE"/>
    <w:rsid w:val="00AA7A8E"/>
    <w:rsid w:val="00AE3D01"/>
    <w:rsid w:val="00B37A0B"/>
    <w:rsid w:val="00B62411"/>
    <w:rsid w:val="00B80C80"/>
    <w:rsid w:val="00BF7046"/>
    <w:rsid w:val="00C02088"/>
    <w:rsid w:val="00C5307E"/>
    <w:rsid w:val="00C54212"/>
    <w:rsid w:val="00C93317"/>
    <w:rsid w:val="00CA0150"/>
    <w:rsid w:val="00CA1728"/>
    <w:rsid w:val="00CA33A4"/>
    <w:rsid w:val="00D12085"/>
    <w:rsid w:val="00DA3626"/>
    <w:rsid w:val="00DB4176"/>
    <w:rsid w:val="00DE6E76"/>
    <w:rsid w:val="00E4426D"/>
    <w:rsid w:val="00E47437"/>
    <w:rsid w:val="00F533D9"/>
    <w:rsid w:val="00FC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14182"/>
  <w15:docId w15:val="{E1058317-889F-436F-B2CD-F3C6A1CA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565"/>
    <w:pPr>
      <w:ind w:firstLine="562"/>
      <w:contextualSpacing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371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71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ra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TotalTime>175</TotalTime>
  <Pages>2</Pages>
  <Words>816</Words>
  <Characters>5275</Characters>
  <Application>Microsoft Office Word</Application>
  <DocSecurity>0</DocSecurity>
  <Lines>86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Evgrafov Andrew</dc:creator>
  <cp:lastModifiedBy>Evgrafov Andrew</cp:lastModifiedBy>
  <cp:revision>53</cp:revision>
  <dcterms:created xsi:type="dcterms:W3CDTF">2023-02-21T15:08:00Z</dcterms:created>
  <dcterms:modified xsi:type="dcterms:W3CDTF">2024-02-16T18:26:00Z</dcterms:modified>
</cp:coreProperties>
</file>