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3004" w14:textId="77777777" w:rsidR="00C067BE" w:rsidRPr="00980F19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0F19">
        <w:rPr>
          <w:rFonts w:ascii="Times New Roman" w:eastAsia="Times New Roman" w:hAnsi="Times New Roman" w:cs="Times New Roman"/>
          <w:b/>
          <w:color w:val="000000"/>
          <w:lang w:eastAsia="ru-RU"/>
        </w:rPr>
        <w:t>Минеральные удобрения как средство геополитического влияния стран Западного Мира</w:t>
      </w:r>
      <w:r>
        <w:rPr>
          <w:rFonts w:ascii="Times New Roman" w:hAnsi="Times New Roman" w:cs="Times New Roman"/>
        </w:rPr>
        <w:t xml:space="preserve"> </w:t>
      </w:r>
      <w:r w:rsidRPr="00980F19">
        <w:rPr>
          <w:rFonts w:ascii="Times New Roman" w:eastAsia="Times New Roman" w:hAnsi="Times New Roman" w:cs="Times New Roman"/>
          <w:b/>
          <w:color w:val="000000"/>
          <w:lang w:eastAsia="ru-RU"/>
        </w:rPr>
        <w:t>на страны Глобального Юга</w:t>
      </w:r>
    </w:p>
    <w:p w14:paraId="4F02D0A2" w14:textId="77777777" w:rsidR="00C067BE" w:rsidRPr="00980F19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vertAlign w:val="superscript"/>
          <w:lang w:eastAsia="ru-RU"/>
        </w:rPr>
      </w:pPr>
      <w:r w:rsidRPr="00980F19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Комарова Елизавета Вячеславовна</w:t>
      </w:r>
    </w:p>
    <w:p w14:paraId="3A0AC61F" w14:textId="77777777" w:rsidR="00C067BE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Студент, 2 курса бакалавриата</w:t>
      </w:r>
    </w:p>
    <w:p w14:paraId="4A5F62FC" w14:textId="77777777" w:rsidR="00C067BE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Московский государственный университет имени М.В.Ломоносова, </w:t>
      </w:r>
    </w:p>
    <w:p w14:paraId="48654193" w14:textId="77777777" w:rsidR="00C067BE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Институт стран Азии и Африки, Москва, Россия</w:t>
      </w:r>
    </w:p>
    <w:p w14:paraId="6F91910C" w14:textId="77777777" w:rsidR="00C067BE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u w:val="single"/>
          <w:lang w:val="en-US"/>
        </w:rPr>
      </w:pPr>
      <w:r w:rsidRPr="00CC0CFC">
        <w:rPr>
          <w:rFonts w:ascii="Times New Roman" w:eastAsia="Times New Roman" w:hAnsi="Times New Roman" w:cs="Times New Roman"/>
          <w:i/>
          <w:color w:val="000000"/>
          <w:lang w:val="en-GB"/>
        </w:rPr>
        <w:t xml:space="preserve">E–mail: </w:t>
      </w:r>
      <w:hyperlink r:id="rId5" w:history="1">
        <w:r w:rsidRPr="001C2065">
          <w:rPr>
            <w:rStyle w:val="a4"/>
            <w:rFonts w:ascii="Times New Roman" w:eastAsia="Times New Roman" w:hAnsi="Times New Roman" w:cs="Times New Roman"/>
            <w:i/>
            <w:lang w:val="en-US"/>
          </w:rPr>
          <w:t>elisaveta</w:t>
        </w:r>
        <w:r w:rsidRPr="001C2065">
          <w:rPr>
            <w:rStyle w:val="a4"/>
            <w:rFonts w:ascii="Times New Roman" w:eastAsia="Times New Roman" w:hAnsi="Times New Roman" w:cs="Times New Roman"/>
            <w:i/>
            <w:lang w:val="en-GB"/>
          </w:rPr>
          <w:t>.</w:t>
        </w:r>
        <w:r w:rsidRPr="001C2065">
          <w:rPr>
            <w:rStyle w:val="a4"/>
            <w:rFonts w:ascii="Times New Roman" w:eastAsia="Times New Roman" w:hAnsi="Times New Roman" w:cs="Times New Roman"/>
            <w:i/>
            <w:lang w:val="en-US"/>
          </w:rPr>
          <w:t>komarova</w:t>
        </w:r>
        <w:r w:rsidRPr="001C2065">
          <w:rPr>
            <w:rStyle w:val="a4"/>
            <w:rFonts w:ascii="Times New Roman" w:eastAsia="Times New Roman" w:hAnsi="Times New Roman" w:cs="Times New Roman"/>
            <w:i/>
            <w:lang w:val="en-GB"/>
          </w:rPr>
          <w:t>@</w:t>
        </w:r>
        <w:r w:rsidRPr="001C2065">
          <w:rPr>
            <w:rStyle w:val="a4"/>
            <w:rFonts w:ascii="Times New Roman" w:eastAsia="Times New Roman" w:hAnsi="Times New Roman" w:cs="Times New Roman"/>
            <w:i/>
            <w:lang w:val="en-US"/>
          </w:rPr>
          <w:t>icloud</w:t>
        </w:r>
        <w:r w:rsidRPr="001C2065">
          <w:rPr>
            <w:rStyle w:val="a4"/>
            <w:rFonts w:ascii="Times New Roman" w:eastAsia="Times New Roman" w:hAnsi="Times New Roman" w:cs="Times New Roman"/>
            <w:i/>
            <w:lang w:val="en-GB"/>
          </w:rPr>
          <w:t>.</w:t>
        </w:r>
        <w:r w:rsidRPr="001C2065">
          <w:rPr>
            <w:rStyle w:val="a4"/>
            <w:rFonts w:ascii="Times New Roman" w:eastAsia="Times New Roman" w:hAnsi="Times New Roman" w:cs="Times New Roman"/>
            <w:i/>
            <w:lang w:val="en-US"/>
          </w:rPr>
          <w:t>com</w:t>
        </w:r>
      </w:hyperlink>
    </w:p>
    <w:p w14:paraId="3E7661BC" w14:textId="77777777" w:rsidR="00C067BE" w:rsidRPr="00CC0CFC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val="en-GB"/>
        </w:rPr>
      </w:pPr>
    </w:p>
    <w:p w14:paraId="5E90442F" w14:textId="77777777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80F19">
        <w:rPr>
          <w:rFonts w:ascii="Times New Roman" w:eastAsia="Times New Roman" w:hAnsi="Times New Roman" w:cs="Times New Roman"/>
          <w:color w:val="000000"/>
          <w:lang w:eastAsia="ru-RU"/>
        </w:rPr>
        <w:t xml:space="preserve">Во второй половине XX века растущее население Земли вызвало резкий рост потребления продуктов </w:t>
      </w:r>
      <w:r w:rsidRPr="009B5ED8">
        <w:rPr>
          <w:rFonts w:ascii="Times New Roman" w:eastAsia="Times New Roman" w:hAnsi="Times New Roman" w:cs="Times New Roman"/>
          <w:lang w:eastAsia="ru-RU"/>
        </w:rPr>
        <w:t>питания и тем самым обострило проблему низкой урожайности агрокультур. Это в большей степени было связано с нехваткой в сельскохозяйственных почвах основных питательных для растений веществ: азота, фосфора и калия. Решение</w:t>
      </w:r>
      <w:r w:rsidRPr="009B5ED8">
        <w:rPr>
          <w:rFonts w:ascii="Times New Roman" w:hAnsi="Times New Roman" w:cs="Times New Roman"/>
        </w:rPr>
        <w:t xml:space="preserve"> указанной проблемы появилось ещё в </w:t>
      </w:r>
      <w:r w:rsidRPr="009B5ED8">
        <w:rPr>
          <w:rFonts w:ascii="Times New Roman" w:hAnsi="Times New Roman" w:cs="Times New Roman"/>
          <w:lang w:val="en-US"/>
        </w:rPr>
        <w:t>XIX</w:t>
      </w:r>
      <w:r w:rsidRPr="009B5ED8">
        <w:rPr>
          <w:rFonts w:ascii="Times New Roman" w:hAnsi="Times New Roman" w:cs="Times New Roman"/>
        </w:rPr>
        <w:t xml:space="preserve"> веке и базировалось на агрохимии, которая обеспечивала научную основу для применения различных удобрений.</w:t>
      </w:r>
    </w:p>
    <w:p w14:paraId="5F94A593" w14:textId="074FAF26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lang w:eastAsia="zh-CN"/>
        </w:rPr>
      </w:pPr>
      <w:r w:rsidRPr="009B5ED8">
        <w:rPr>
          <w:rFonts w:ascii="Times New Roman" w:eastAsia="Times New Roman" w:hAnsi="Times New Roman" w:cs="Times New Roman"/>
          <w:lang w:eastAsia="ru-RU"/>
        </w:rPr>
        <w:t>Активное</w:t>
      </w:r>
      <w:r w:rsidRPr="009B5ED8">
        <w:rPr>
          <w:rFonts w:ascii="Times New Roman" w:hAnsi="Times New Roman" w:cs="Times New Roman"/>
        </w:rPr>
        <w:t xml:space="preserve"> использование минеральных удобрений, наряду с улучшенной селекцией, генетическими модификациями сельскохозяйственных культур и агрономией, механизацией и автоматизацией способствовали «зеленой революции», которая с начала 60-х годов XX века привела к многократному увеличению урожайности агрокультур во многих частях мира. Так с 1966 по 2022 гг. потребление минеральных удобрений мировым аграрным сектором выросло в 3 раза.</w:t>
      </w:r>
      <w:r w:rsidRPr="009B5ED8">
        <w:rPr>
          <w:rFonts w:ascii="Times New Roman" w:eastAsiaTheme="minorEastAsia" w:hAnsi="Times New Roman" w:cs="Times New Roman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lang w:eastAsia="zh-CN"/>
        </w:rPr>
        <w:t>П</w:t>
      </w:r>
      <w:r w:rsidRPr="009B5ED8">
        <w:rPr>
          <w:rFonts w:ascii="Times New Roman" w:eastAsiaTheme="minorEastAsia" w:hAnsi="Times New Roman" w:cs="Times New Roman"/>
          <w:lang w:eastAsia="zh-CN"/>
        </w:rPr>
        <w:t>ри этом коэффициент прироста урожайности агрокультур за этот же период составил 9,2 [</w:t>
      </w:r>
      <w:r w:rsidR="00F849DA">
        <w:rPr>
          <w:rFonts w:ascii="Times New Roman" w:eastAsiaTheme="minorEastAsia" w:hAnsi="Times New Roman" w:cs="Times New Roman"/>
          <w:lang w:eastAsia="zh-CN"/>
        </w:rPr>
        <w:t>5</w:t>
      </w:r>
      <w:r w:rsidRPr="009B5ED8">
        <w:rPr>
          <w:rFonts w:ascii="Times New Roman" w:eastAsiaTheme="minorEastAsia" w:hAnsi="Times New Roman" w:cs="Times New Roman"/>
          <w:lang w:eastAsia="zh-CN"/>
        </w:rPr>
        <w:t xml:space="preserve">]. Это </w:t>
      </w:r>
      <w:r w:rsidRPr="009B5ED8">
        <w:rPr>
          <w:rFonts w:ascii="Times New Roman" w:hAnsi="Times New Roman" w:cs="Times New Roman"/>
        </w:rPr>
        <w:t>предотвратило голод для большого числа людей в мире.</w:t>
      </w:r>
    </w:p>
    <w:p w14:paraId="64A0E4D2" w14:textId="2AAE869B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hAnsi="Times New Roman" w:cs="Times New Roman"/>
        </w:rPr>
        <w:t xml:space="preserve">Тема </w:t>
      </w:r>
      <w:r w:rsidRPr="009B5ED8">
        <w:rPr>
          <w:rFonts w:ascii="Times New Roman" w:eastAsia="Times New Roman" w:hAnsi="Times New Roman" w:cs="Times New Roman"/>
          <w:lang w:eastAsia="ru-RU"/>
        </w:rPr>
        <w:t>эффективного</w:t>
      </w:r>
      <w:r w:rsidRPr="009B5ED8">
        <w:rPr>
          <w:rFonts w:ascii="Times New Roman" w:hAnsi="Times New Roman" w:cs="Times New Roman"/>
        </w:rPr>
        <w:t xml:space="preserve"> использования минеральных удобрений в сельском хозяйстве достаточно хорошо изучена. В частности, о минеральных удобрениях как о фундаменте «зелёной революции» говорится в работах нобелевского лауреата Нормана Борлоуга. Большой вклад в разработку методов использования минеральных удобрений внёс индийский учёный Монтор Сваминатан. Вместе с тем, констатируя, что распределение сырья для производства минеральных удобрений в мире неравномерно, указанные исследователи в своих работах не рассматривали проблему зависимости регионов-потребителей минеральных удобрений от регионов-производителей. Между тем, в 2022 г. из общемирового производства удобрений (273 млн тонн на общую сумму порядка 250 млрд до</w:t>
      </w:r>
      <w:r>
        <w:rPr>
          <w:rFonts w:ascii="Times New Roman" w:hAnsi="Times New Roman" w:cs="Times New Roman"/>
        </w:rPr>
        <w:t>лл</w:t>
      </w:r>
      <w:r w:rsidRPr="009B5ED8">
        <w:rPr>
          <w:rFonts w:ascii="Times New Roman" w:hAnsi="Times New Roman" w:cs="Times New Roman"/>
        </w:rPr>
        <w:t xml:space="preserve">. США) только 20% (50 млрд долл. США) произвели страны Глобального Юга. Остальные 80% пришлись на Западный мир, Россию и Китай. При этом потребление стран Глобального Юга </w:t>
      </w:r>
      <w:r w:rsidRPr="009B5ED8">
        <w:rPr>
          <w:rFonts w:ascii="Times New Roman" w:eastAsiaTheme="minorEastAsia" w:hAnsi="Times New Roman" w:cs="Times New Roman"/>
          <w:lang w:eastAsia="zh-CN"/>
        </w:rPr>
        <w:t xml:space="preserve">в общем объеме </w:t>
      </w:r>
      <w:r w:rsidRPr="009B5ED8">
        <w:rPr>
          <w:rFonts w:ascii="Times New Roman" w:hAnsi="Times New Roman" w:cs="Times New Roman"/>
        </w:rPr>
        <w:t>составило уже 60% (150 млрд долл. США) [</w:t>
      </w:r>
      <w:r w:rsidR="00F849DA">
        <w:rPr>
          <w:rFonts w:ascii="Times New Roman" w:hAnsi="Times New Roman" w:cs="Times New Roman"/>
          <w:lang w:val="en-US"/>
        </w:rPr>
        <w:t>3</w:t>
      </w:r>
      <w:r w:rsidRPr="009B5ED8">
        <w:rPr>
          <w:rFonts w:ascii="Times New Roman" w:hAnsi="Times New Roman" w:cs="Times New Roman"/>
        </w:rPr>
        <w:t>]. Таким образом, зависимость регионов-потребителей от регионов-производителей на 2022 г. можно оценить в 40%.</w:t>
      </w:r>
    </w:p>
    <w:p w14:paraId="0B774620" w14:textId="77777777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hAnsi="Times New Roman" w:cs="Times New Roman"/>
        </w:rPr>
        <w:t>Кроме того, в современной геополитической ситуации между основными центрами силы: Западный Мир, Россия, Китай, Глобальный Юг, – уже известны попытки санкционных ограничений на перемещение минеральных удобрений с целью давления на зависимые от этого страны. Эти случаи на сегодняшний день также недостаточно исследованы.</w:t>
      </w:r>
    </w:p>
    <w:p w14:paraId="79C9FA6F" w14:textId="77777777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eastAsia="Times New Roman" w:hAnsi="Times New Roman" w:cs="Times New Roman"/>
          <w:lang w:eastAsia="ru-RU"/>
        </w:rPr>
        <w:t>Учитывая</w:t>
      </w:r>
      <w:r w:rsidRPr="009B5ED8">
        <w:rPr>
          <w:rFonts w:ascii="Times New Roman" w:hAnsi="Times New Roman" w:cs="Times New Roman"/>
        </w:rPr>
        <w:t>, что рост населения в мире продолжается – будут расти и общемировая потребность в минеральных удобрениях и зависимость стран с большим аграрным сектором от стран-производителей минеральных удобрений. Международная торговля минеральными удобрениями на сегодняшний день уже приобрела геополитический характер влияния на мировом рынке. Все эти обстоятельства обусловили актуальную и недостаточно изученную на сегодняшний день двухаспектную проблему: рыночная зависимость одних стран (преимущественно стран Глобального Юга) от применения минеральных удобрений в целях собственной продовольственной безопасности и использование минеральных удобрений другими странами (преимущественно странами Западного Мира) в качестве средства решения геополитических задач.</w:t>
      </w:r>
    </w:p>
    <w:p w14:paraId="54997919" w14:textId="2B07816D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hAnsi="Times New Roman" w:cs="Times New Roman"/>
        </w:rPr>
        <w:lastRenderedPageBreak/>
        <w:t xml:space="preserve">На </w:t>
      </w:r>
      <w:r w:rsidRPr="009B5ED8">
        <w:rPr>
          <w:rFonts w:ascii="Times New Roman" w:eastAsia="Times New Roman" w:hAnsi="Times New Roman" w:cs="Times New Roman"/>
          <w:lang w:eastAsia="ru-RU"/>
        </w:rPr>
        <w:t>современном</w:t>
      </w:r>
      <w:r w:rsidRPr="009B5ED8">
        <w:rPr>
          <w:rFonts w:ascii="Times New Roman" w:hAnsi="Times New Roman" w:cs="Times New Roman"/>
        </w:rPr>
        <w:t xml:space="preserve"> этапе развития мировой рыночной экономики и глобализации произошла, за редким исключением, неизбежная специализация большинства стран на единичных отраслях либо группах отраслей производства, хозяйства, услуг. Основная идея этого процесса – сокращение издержек – прочно взаимосвязана с универсализацией производимых продуктов, услуг. В частности, порядка 90% всех выпускаемых и потребляемых минеральных удобрений состоят из 20 основных видов </w:t>
      </w:r>
      <w:r w:rsidRPr="009B5ED8">
        <w:rPr>
          <w:rFonts w:ascii="Times New Roman" w:eastAsia="Times New Roman" w:hAnsi="Times New Roman" w:cs="Times New Roman"/>
        </w:rPr>
        <w:t>[</w:t>
      </w:r>
      <w:r w:rsidR="00F849DA">
        <w:rPr>
          <w:rFonts w:ascii="Times New Roman" w:eastAsia="Times New Roman" w:hAnsi="Times New Roman" w:cs="Times New Roman"/>
        </w:rPr>
        <w:t>2</w:t>
      </w:r>
      <w:r w:rsidRPr="009B5ED8">
        <w:rPr>
          <w:rFonts w:ascii="Times New Roman" w:eastAsia="Times New Roman" w:hAnsi="Times New Roman" w:cs="Times New Roman"/>
        </w:rPr>
        <w:t>]</w:t>
      </w:r>
      <w:r w:rsidRPr="009B5ED8">
        <w:rPr>
          <w:rFonts w:ascii="Times New Roman" w:hAnsi="Times New Roman" w:cs="Times New Roman"/>
        </w:rPr>
        <w:t>. Эти универсальные виды удобрений, конечно, решают вопрос увеличения урожайности, но не самым эффективным способом. Примерно 30-40% питательных веществ не усваиваются растением и либо загрязняют поверхностные и подземные воды, либо приводят к засолению почв</w:t>
      </w:r>
      <w:r w:rsidRPr="009B5ED8">
        <w:rPr>
          <w:rFonts w:ascii="Times New Roman" w:eastAsia="Times New Roman" w:hAnsi="Times New Roman" w:cs="Times New Roman"/>
        </w:rPr>
        <w:t xml:space="preserve"> [3]</w:t>
      </w:r>
      <w:r w:rsidRPr="009B5ED8">
        <w:rPr>
          <w:rFonts w:ascii="Times New Roman" w:hAnsi="Times New Roman" w:cs="Times New Roman"/>
        </w:rPr>
        <w:t>. Поэтому проблему снижения зависимости стран Глобального Юга от минеральных удобрений нельзя решить обычным управлением закупкой большого количества универсальных и дешёвых минеральных удобрений без проведения системного и постоянного мониторинга качества почв значительной части посевных территорий этих стран.</w:t>
      </w:r>
    </w:p>
    <w:p w14:paraId="1EC788D4" w14:textId="3496E4B1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hAnsi="Times New Roman" w:cs="Times New Roman"/>
        </w:rPr>
        <w:t xml:space="preserve">По </w:t>
      </w:r>
      <w:r w:rsidRPr="009B5ED8">
        <w:rPr>
          <w:rFonts w:ascii="Times New Roman" w:eastAsia="Times New Roman" w:hAnsi="Times New Roman" w:cs="Times New Roman"/>
          <w:lang w:eastAsia="ru-RU"/>
        </w:rPr>
        <w:t>мнению</w:t>
      </w:r>
      <w:r w:rsidRPr="009B5ED8">
        <w:rPr>
          <w:rFonts w:ascii="Times New Roman" w:hAnsi="Times New Roman" w:cs="Times New Roman"/>
        </w:rPr>
        <w:t xml:space="preserve"> автора, для решения этой проблемы нужен новый подход, основанный на глубоком исследовании почв, более точном подборе формул и сочетаний необходимых минеральных удобрений, правильном дозировании объемов их внесения. Это потенциально снизит необходимое количество минеральных удобрений, значительно увеличит эффективность их воздействия на растения и снизит вред экосистеме. Постепенное расширение выбора, формирование номенклатуры более специализированных сочетаний питательных веществ и создание более «сложных» удобрений разных ценовых категорий позволит снизить зависимость стран Глобального Юга от уже сложившегося монополизма стран-производителей сложных, заведомо более дорогих, минеральных удобрений.</w:t>
      </w:r>
    </w:p>
    <w:p w14:paraId="67D8F133" w14:textId="448A0EFE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hAnsi="Times New Roman" w:cs="Times New Roman"/>
        </w:rPr>
        <w:t xml:space="preserve">Проблема </w:t>
      </w:r>
      <w:r w:rsidRPr="009B5ED8">
        <w:rPr>
          <w:rFonts w:ascii="Times New Roman" w:eastAsia="Times New Roman" w:hAnsi="Times New Roman" w:cs="Times New Roman"/>
          <w:lang w:eastAsia="ru-RU"/>
        </w:rPr>
        <w:t>геополитического</w:t>
      </w:r>
      <w:r w:rsidRPr="009B5ED8">
        <w:rPr>
          <w:rFonts w:ascii="Times New Roman" w:hAnsi="Times New Roman" w:cs="Times New Roman"/>
        </w:rPr>
        <w:t xml:space="preserve"> давления через поставку минеральных удобрений традиционно решалась с помощью международных организаций по регулированию мировой торговли, таких как ВТО и ЮНСИТРАЛ. Однако в современных реалиях эти организации во многом утратили свой статус независимых арбитров международных торговых отношений. Поэтому, по мнению автора, для решения этой проблемы необходимо использовать положительный контрсанкционный опыт, имеющийся в других секторах мировой торговли. Так, в 2022-2023 гг. в ответ на антикитайские заявления и санкции со стороны Австралии Китай ввёл контрсанкции в виде запрета на импорт австралийских коксующихся углей, полностью их заместив поставками из России и Индонезии. </w:t>
      </w:r>
      <w:r w:rsidRPr="009B5ED8">
        <w:rPr>
          <w:rFonts w:ascii="Times New Roman" w:eastAsiaTheme="minorEastAsia" w:hAnsi="Times New Roman" w:cs="Times New Roman"/>
          <w:lang w:eastAsia="zh-CN"/>
        </w:rPr>
        <w:t>За 2021 г. Китай импортировал 77,5 млн тонн австралийского угля на сумму свыше 10 млрд долл. США, а в контрсанкционный 2022 г. всего лишь 2,86 млн тонн на общую сумму 374 млн долл. США [</w:t>
      </w:r>
      <w:r w:rsidR="00F849DA">
        <w:rPr>
          <w:rFonts w:ascii="Times New Roman" w:eastAsiaTheme="minorEastAsia" w:hAnsi="Times New Roman" w:cs="Times New Roman"/>
          <w:lang w:val="en-US" w:eastAsia="zh-CN"/>
        </w:rPr>
        <w:t>4</w:t>
      </w:r>
      <w:r w:rsidRPr="009B5ED8">
        <w:rPr>
          <w:rFonts w:ascii="Times New Roman" w:eastAsiaTheme="minorEastAsia" w:hAnsi="Times New Roman" w:cs="Times New Roman"/>
          <w:lang w:eastAsia="zh-CN"/>
        </w:rPr>
        <w:t xml:space="preserve">]. Потери для австралийского бюджета составили более 9,5 млрд долл. США. </w:t>
      </w:r>
      <w:r w:rsidRPr="009B5ED8">
        <w:rPr>
          <w:rFonts w:ascii="Times New Roman" w:hAnsi="Times New Roman" w:cs="Times New Roman"/>
        </w:rPr>
        <w:t>Ущерб от контрсанкций был настолько чувствителен для экономики Австралии, что последняя изменила политику в отношении Китая и сняла свои санкции. В настоящее время поставки австралийских коксующихся углей в КНР возобновлены.</w:t>
      </w:r>
    </w:p>
    <w:p w14:paraId="08AA169C" w14:textId="594413FD" w:rsidR="00C067BE" w:rsidRPr="009B5ED8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eastAsia="Times New Roman" w:hAnsi="Times New Roman" w:cs="Times New Roman"/>
          <w:lang w:eastAsia="ru-RU"/>
        </w:rPr>
        <w:t>Учитывая</w:t>
      </w:r>
      <w:r w:rsidRPr="009B5ED8">
        <w:rPr>
          <w:rFonts w:ascii="Times New Roman" w:hAnsi="Times New Roman" w:cs="Times New Roman"/>
        </w:rPr>
        <w:t>, что до 40% поставляемых в страны Глобального Юга простых минеральных удобрений приходится на страны Западного Мира</w:t>
      </w:r>
      <w:r w:rsidRPr="009B5ED8">
        <w:rPr>
          <w:rFonts w:ascii="Times New Roman" w:eastAsia="Times New Roman" w:hAnsi="Times New Roman" w:cs="Times New Roman"/>
        </w:rPr>
        <w:t xml:space="preserve"> [</w:t>
      </w:r>
      <w:r w:rsidR="00F849DA">
        <w:rPr>
          <w:rFonts w:ascii="Times New Roman" w:hAnsi="Times New Roman" w:cs="Times New Roman"/>
        </w:rPr>
        <w:t>1</w:t>
      </w:r>
      <w:r w:rsidRPr="009B5ED8">
        <w:rPr>
          <w:rFonts w:ascii="Times New Roman" w:eastAsia="Times New Roman" w:hAnsi="Times New Roman" w:cs="Times New Roman"/>
        </w:rPr>
        <w:t>]</w:t>
      </w:r>
      <w:r w:rsidRPr="009B5ED8">
        <w:rPr>
          <w:rFonts w:ascii="Times New Roman" w:hAnsi="Times New Roman" w:cs="Times New Roman"/>
        </w:rPr>
        <w:t>, а также то, что этот объём может быть замещён поставками из России, Беларуси и Китая, консолидированные контрсанкции со стороны стран Глобального Юга могут привести к сокращению возможностей Западного мира к санкционному давлению посредством поставки минеральных удобрений.</w:t>
      </w:r>
    </w:p>
    <w:p w14:paraId="0032136D" w14:textId="77777777" w:rsidR="00C067BE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 w:rsidRPr="009B5ED8">
        <w:rPr>
          <w:rFonts w:ascii="Times New Roman" w:hAnsi="Times New Roman" w:cs="Times New Roman"/>
        </w:rPr>
        <w:t>Таким образом, благодаря быстро растущему населению планеты, в силу необходимости поддержания высокого уровня продовольственной безопасности, минеральные удобрения превратились из средства для повышения урожайности агрокультур в инструмент стратегического геополитического влияния. Преодоление этой тенденции возможно через расширение числа стран-производителей, осуществляющих поставки удобрений вне устоявшихся прозападных форматов международной торговли,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постепенный отказ от массового использования странами Глобального Юга простых минеральных удобрений в пользу</w:t>
      </w:r>
      <w:r w:rsidRPr="00C067BE">
        <w:rPr>
          <w:rFonts w:ascii="Times New Roman" w:hAnsi="Times New Roman" w:cs="Times New Roman"/>
        </w:rPr>
        <w:t xml:space="preserve"> более сложных, возможно на первоначальном этапе и более дорогих,</w:t>
      </w:r>
      <w:r>
        <w:rPr>
          <w:rFonts w:ascii="Times New Roman" w:hAnsi="Times New Roman" w:cs="Times New Roman"/>
        </w:rPr>
        <w:t xml:space="preserve"> с одновременным консолидированным контрсанкционным воздействием.</w:t>
      </w:r>
    </w:p>
    <w:p w14:paraId="1C1FEB48" w14:textId="77777777" w:rsidR="00C067BE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Источники и литература</w:t>
      </w:r>
    </w:p>
    <w:p w14:paraId="3C928F65" w14:textId="3AD1CDFB" w:rsidR="00F849DA" w:rsidRPr="00980F19" w:rsidRDefault="00F849DA" w:rsidP="00F849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</w:rPr>
      </w:pPr>
      <w:r w:rsidRPr="00980F19">
        <w:rPr>
          <w:rFonts w:ascii="Times New Roman" w:hAnsi="Times New Roman" w:cs="Times New Roman"/>
        </w:rPr>
        <w:t>Ежегодная статистика внешней торговли по странам. Мировой экспорт. 2022</w:t>
      </w:r>
      <w:r>
        <w:rPr>
          <w:rFonts w:ascii="Times New Roman" w:hAnsi="Times New Roman" w:cs="Times New Roman"/>
        </w:rPr>
        <w:t>:</w:t>
      </w:r>
      <w:r w:rsidRPr="00980F19">
        <w:rPr>
          <w:rFonts w:ascii="Times New Roman" w:hAnsi="Times New Roman" w:cs="Times New Roman"/>
        </w:rPr>
        <w:t xml:space="preserve"> </w:t>
      </w:r>
      <w:hyperlink r:id="rId6" w:history="1">
        <w:r w:rsidRPr="0058521E">
          <w:rPr>
            <w:rStyle w:val="a4"/>
            <w:rFonts w:ascii="Times New Roman" w:hAnsi="Times New Roman" w:cs="Times New Roman"/>
          </w:rPr>
          <w:t>https://trendeconomy.ru/data/h2?commodity=31,TOTAL&amp;reporter=China&amp;trade_flow=Export&amp;partner=World&amp;indicator=TV&amp;time_period=2022</w:t>
        </w:r>
      </w:hyperlink>
      <w:r>
        <w:rPr>
          <w:rFonts w:ascii="Times New Roman" w:hAnsi="Times New Roman" w:cs="Times New Roman"/>
        </w:rPr>
        <w:t xml:space="preserve"> </w:t>
      </w:r>
    </w:p>
    <w:p w14:paraId="5D93ECD5" w14:textId="7CB04F6C" w:rsidR="00F849DA" w:rsidRDefault="00F849DA" w:rsidP="00F849DA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</w:rPr>
      </w:pPr>
      <w:r w:rsidRPr="003C2AA5">
        <w:rPr>
          <w:rFonts w:ascii="Times New Roman" w:hAnsi="Times New Roman" w:cs="Times New Roman"/>
        </w:rPr>
        <w:t>ФАОСТАТ. Удобрения по содержанию продуктов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58521E">
          <w:rPr>
            <w:rStyle w:val="a4"/>
            <w:rFonts w:ascii="Times New Roman" w:hAnsi="Times New Roman" w:cs="Times New Roman"/>
          </w:rPr>
          <w:t>https://www.fao.org/faostat/ru/#data/RFB</w:t>
        </w:r>
      </w:hyperlink>
      <w:r>
        <w:rPr>
          <w:rFonts w:ascii="Times New Roman" w:hAnsi="Times New Roman" w:cs="Times New Roman"/>
        </w:rPr>
        <w:t xml:space="preserve"> </w:t>
      </w:r>
    </w:p>
    <w:p w14:paraId="0F91E2DB" w14:textId="4AA3BDBF" w:rsidR="00C067BE" w:rsidRPr="00980F19" w:rsidRDefault="00C067BE" w:rsidP="00C067B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lang w:val="en-US"/>
        </w:rPr>
      </w:pPr>
      <w:r w:rsidRPr="005E04A1">
        <w:rPr>
          <w:rFonts w:ascii="Times New Roman" w:hAnsi="Times New Roman" w:cs="Times New Roman"/>
          <w:i/>
          <w:iCs/>
          <w:lang w:val="en-US"/>
        </w:rPr>
        <w:t>International fertilizer association</w:t>
      </w:r>
      <w:r w:rsidR="00F849DA">
        <w:rPr>
          <w:rFonts w:ascii="Times New Roman" w:hAnsi="Times New Roman" w:cs="Times New Roman"/>
          <w:lang w:val="en-US"/>
        </w:rPr>
        <w:t>:</w:t>
      </w:r>
      <w:r w:rsidRPr="00980F19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="00FC7EC5" w:rsidRPr="0058521E">
          <w:rPr>
            <w:rStyle w:val="a4"/>
            <w:rFonts w:ascii="Times New Roman" w:hAnsi="Times New Roman" w:cs="Times New Roman"/>
            <w:lang w:val="en-US"/>
          </w:rPr>
          <w:t>https://www.fertilizer.org/science/publications-data/</w:t>
        </w:r>
      </w:hyperlink>
      <w:r w:rsidR="00FC7EC5">
        <w:rPr>
          <w:rFonts w:ascii="Times New Roman" w:hAnsi="Times New Roman" w:cs="Times New Roman"/>
          <w:lang w:val="en-US"/>
        </w:rPr>
        <w:t xml:space="preserve"> (дата обращения: 27.02.24)</w:t>
      </w:r>
    </w:p>
    <w:p w14:paraId="6AB8A82C" w14:textId="20A80315" w:rsidR="00C067BE" w:rsidRPr="00483382" w:rsidRDefault="00C067BE" w:rsidP="00C067B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UNCTADstat Data Centre</w:t>
      </w:r>
      <w:r w:rsidR="00F849DA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FC7EC5" w:rsidRPr="0058521E">
          <w:rPr>
            <w:rStyle w:val="a4"/>
            <w:rFonts w:ascii="Times New Roman" w:hAnsi="Times New Roman" w:cs="Times New Roman"/>
            <w:lang w:val="en-US"/>
          </w:rPr>
          <w:t>https://unctadstat.unctad.org/datacentre/dataviewer/US.IntraTrade</w:t>
        </w:r>
      </w:hyperlink>
      <w:r w:rsidR="00FC7EC5">
        <w:rPr>
          <w:rFonts w:ascii="Times New Roman" w:hAnsi="Times New Roman" w:cs="Times New Roman"/>
          <w:lang w:val="en-US"/>
        </w:rPr>
        <w:t xml:space="preserve"> </w:t>
      </w:r>
    </w:p>
    <w:p w14:paraId="49189E2A" w14:textId="369CDCCC" w:rsidR="00C067BE" w:rsidRPr="00F849DA" w:rsidRDefault="00C067BE" w:rsidP="00C067BE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hAnsi="Times New Roman" w:cs="Times New Roman"/>
          <w:lang w:val="en-US"/>
        </w:rPr>
      </w:pPr>
      <w:r w:rsidRPr="00483382">
        <w:rPr>
          <w:rFonts w:ascii="Times New Roman" w:hAnsi="Times New Roman" w:cs="Times New Roman"/>
          <w:lang w:val="en-US"/>
        </w:rPr>
        <w:t>World bank</w:t>
      </w:r>
      <w:r w:rsidR="00F849DA">
        <w:rPr>
          <w:rFonts w:ascii="Times New Roman" w:hAnsi="Times New Roman" w:cs="Times New Roman"/>
          <w:lang w:val="en-US"/>
        </w:rPr>
        <w:t>:</w:t>
      </w:r>
      <w:r w:rsidRPr="00573744">
        <w:rPr>
          <w:rFonts w:ascii="Times New Roman" w:hAnsi="Times New Roman" w:cs="Times New Roman"/>
          <w:i/>
          <w:iCs/>
          <w:lang w:val="en-US"/>
        </w:rPr>
        <w:t xml:space="preserve"> </w:t>
      </w:r>
      <w:hyperlink r:id="rId10" w:history="1">
        <w:r w:rsidRPr="005D5C32">
          <w:rPr>
            <w:rFonts w:ascii="Times New Roman" w:hAnsi="Times New Roman" w:cs="Times New Roman"/>
            <w:lang w:val="en-US"/>
          </w:rPr>
          <w:t>https</w:t>
        </w:r>
        <w:r w:rsidRPr="00F849DA">
          <w:rPr>
            <w:rFonts w:ascii="Times New Roman" w:hAnsi="Times New Roman" w:cs="Times New Roman"/>
            <w:lang w:val="en-US"/>
          </w:rPr>
          <w:t>://</w:t>
        </w:r>
        <w:r w:rsidRPr="005D5C32">
          <w:rPr>
            <w:rFonts w:ascii="Times New Roman" w:hAnsi="Times New Roman" w:cs="Times New Roman"/>
            <w:lang w:val="en-US"/>
          </w:rPr>
          <w:t>data</w:t>
        </w:r>
        <w:r w:rsidRPr="00F849DA">
          <w:rPr>
            <w:rFonts w:ascii="Times New Roman" w:hAnsi="Times New Roman" w:cs="Times New Roman"/>
            <w:lang w:val="en-US"/>
          </w:rPr>
          <w:t>.</w:t>
        </w:r>
        <w:r w:rsidRPr="005D5C32">
          <w:rPr>
            <w:rFonts w:ascii="Times New Roman" w:hAnsi="Times New Roman" w:cs="Times New Roman"/>
            <w:lang w:val="en-US"/>
          </w:rPr>
          <w:t>worldbank</w:t>
        </w:r>
        <w:r w:rsidRPr="00F849DA">
          <w:rPr>
            <w:rFonts w:ascii="Times New Roman" w:hAnsi="Times New Roman" w:cs="Times New Roman"/>
            <w:lang w:val="en-US"/>
          </w:rPr>
          <w:t>.</w:t>
        </w:r>
        <w:r w:rsidRPr="005D5C32">
          <w:rPr>
            <w:rFonts w:ascii="Times New Roman" w:hAnsi="Times New Roman" w:cs="Times New Roman"/>
            <w:lang w:val="en-US"/>
          </w:rPr>
          <w:t>org</w:t>
        </w:r>
        <w:r w:rsidRPr="00F849DA">
          <w:rPr>
            <w:rFonts w:ascii="Times New Roman" w:hAnsi="Times New Roman" w:cs="Times New Roman"/>
            <w:lang w:val="en-US"/>
          </w:rPr>
          <w:t>/</w:t>
        </w:r>
        <w:r w:rsidRPr="005D5C32">
          <w:rPr>
            <w:rFonts w:ascii="Times New Roman" w:hAnsi="Times New Roman" w:cs="Times New Roman"/>
            <w:lang w:val="en-US"/>
          </w:rPr>
          <w:t>indicator</w:t>
        </w:r>
        <w:r w:rsidRPr="00F849DA">
          <w:rPr>
            <w:rFonts w:ascii="Times New Roman" w:hAnsi="Times New Roman" w:cs="Times New Roman"/>
            <w:lang w:val="en-US"/>
          </w:rPr>
          <w:t>/</w:t>
        </w:r>
        <w:r w:rsidRPr="005D5C32">
          <w:rPr>
            <w:rFonts w:ascii="Times New Roman" w:hAnsi="Times New Roman" w:cs="Times New Roman"/>
            <w:lang w:val="en-US"/>
          </w:rPr>
          <w:t>AG</w:t>
        </w:r>
        <w:r w:rsidRPr="00F849DA">
          <w:rPr>
            <w:rFonts w:ascii="Times New Roman" w:hAnsi="Times New Roman" w:cs="Times New Roman"/>
            <w:lang w:val="en-US"/>
          </w:rPr>
          <w:t>.</w:t>
        </w:r>
        <w:r w:rsidRPr="005D5C32">
          <w:rPr>
            <w:rFonts w:ascii="Times New Roman" w:hAnsi="Times New Roman" w:cs="Times New Roman"/>
            <w:lang w:val="en-US"/>
          </w:rPr>
          <w:t>CON</w:t>
        </w:r>
        <w:r w:rsidRPr="00F849DA">
          <w:rPr>
            <w:rFonts w:ascii="Times New Roman" w:hAnsi="Times New Roman" w:cs="Times New Roman"/>
            <w:lang w:val="en-US"/>
          </w:rPr>
          <w:t>.</w:t>
        </w:r>
        <w:r w:rsidRPr="005D5C32">
          <w:rPr>
            <w:rFonts w:ascii="Times New Roman" w:hAnsi="Times New Roman" w:cs="Times New Roman"/>
            <w:lang w:val="en-US"/>
          </w:rPr>
          <w:t>FERT</w:t>
        </w:r>
        <w:r w:rsidRPr="00F849DA">
          <w:rPr>
            <w:rFonts w:ascii="Times New Roman" w:hAnsi="Times New Roman" w:cs="Times New Roman"/>
            <w:lang w:val="en-US"/>
          </w:rPr>
          <w:t>.</w:t>
        </w:r>
        <w:r w:rsidRPr="005D5C32">
          <w:rPr>
            <w:rFonts w:ascii="Times New Roman" w:hAnsi="Times New Roman" w:cs="Times New Roman"/>
            <w:lang w:val="en-US"/>
          </w:rPr>
          <w:t>ZS</w:t>
        </w:r>
        <w:r w:rsidRPr="00F849DA">
          <w:rPr>
            <w:rFonts w:ascii="Times New Roman" w:hAnsi="Times New Roman" w:cs="Times New Roman"/>
            <w:lang w:val="en-US"/>
          </w:rPr>
          <w:t>?</w:t>
        </w:r>
        <w:r w:rsidRPr="005D5C32">
          <w:rPr>
            <w:rFonts w:ascii="Times New Roman" w:hAnsi="Times New Roman" w:cs="Times New Roman"/>
            <w:lang w:val="en-US"/>
          </w:rPr>
          <w:t>end</w:t>
        </w:r>
        <w:r w:rsidRPr="00F849DA">
          <w:rPr>
            <w:rFonts w:ascii="Times New Roman" w:hAnsi="Times New Roman" w:cs="Times New Roman"/>
            <w:lang w:val="en-US"/>
          </w:rPr>
          <w:t>=2021&amp;</w:t>
        </w:r>
        <w:r w:rsidRPr="005D5C32">
          <w:rPr>
            <w:rFonts w:ascii="Times New Roman" w:hAnsi="Times New Roman" w:cs="Times New Roman"/>
            <w:lang w:val="en-US"/>
          </w:rPr>
          <w:t>name</w:t>
        </w:r>
        <w:r w:rsidRPr="00F849DA">
          <w:rPr>
            <w:rFonts w:ascii="Times New Roman" w:hAnsi="Times New Roman" w:cs="Times New Roman"/>
            <w:lang w:val="en-US"/>
          </w:rPr>
          <w:t>_</w:t>
        </w:r>
        <w:r w:rsidRPr="005D5C32">
          <w:rPr>
            <w:rFonts w:ascii="Times New Roman" w:hAnsi="Times New Roman" w:cs="Times New Roman"/>
            <w:lang w:val="en-US"/>
          </w:rPr>
          <w:t>desc</w:t>
        </w:r>
        <w:r w:rsidRPr="00F849DA">
          <w:rPr>
            <w:rFonts w:ascii="Times New Roman" w:hAnsi="Times New Roman" w:cs="Times New Roman"/>
            <w:lang w:val="en-US"/>
          </w:rPr>
          <w:t>=</w:t>
        </w:r>
        <w:r w:rsidRPr="005D5C32">
          <w:rPr>
            <w:rFonts w:ascii="Times New Roman" w:hAnsi="Times New Roman" w:cs="Times New Roman"/>
            <w:lang w:val="en-US"/>
          </w:rPr>
          <w:t>false</w:t>
        </w:r>
        <w:r w:rsidRPr="00F849DA">
          <w:rPr>
            <w:rFonts w:ascii="Times New Roman" w:hAnsi="Times New Roman" w:cs="Times New Roman"/>
            <w:lang w:val="en-US"/>
          </w:rPr>
          <w:t>&amp;</w:t>
        </w:r>
        <w:r w:rsidRPr="005D5C32">
          <w:rPr>
            <w:rFonts w:ascii="Times New Roman" w:hAnsi="Times New Roman" w:cs="Times New Roman"/>
            <w:lang w:val="en-US"/>
          </w:rPr>
          <w:t>start</w:t>
        </w:r>
        <w:r w:rsidRPr="00F849DA">
          <w:rPr>
            <w:rFonts w:ascii="Times New Roman" w:hAnsi="Times New Roman" w:cs="Times New Roman"/>
            <w:lang w:val="en-US"/>
          </w:rPr>
          <w:t>=1961&amp;</w:t>
        </w:r>
        <w:r w:rsidRPr="005D5C32">
          <w:rPr>
            <w:rFonts w:ascii="Times New Roman" w:hAnsi="Times New Roman" w:cs="Times New Roman"/>
            <w:lang w:val="en-US"/>
          </w:rPr>
          <w:t>type</w:t>
        </w:r>
        <w:r w:rsidRPr="00F849DA">
          <w:rPr>
            <w:rFonts w:ascii="Times New Roman" w:hAnsi="Times New Roman" w:cs="Times New Roman"/>
            <w:lang w:val="en-US"/>
          </w:rPr>
          <w:t>=</w:t>
        </w:r>
        <w:r w:rsidRPr="005D5C32">
          <w:rPr>
            <w:rFonts w:ascii="Times New Roman" w:hAnsi="Times New Roman" w:cs="Times New Roman"/>
            <w:lang w:val="en-US"/>
          </w:rPr>
          <w:t>points</w:t>
        </w:r>
        <w:r w:rsidRPr="00F849DA">
          <w:rPr>
            <w:rFonts w:ascii="Times New Roman" w:hAnsi="Times New Roman" w:cs="Times New Roman"/>
            <w:lang w:val="en-US"/>
          </w:rPr>
          <w:t>&amp;</w:t>
        </w:r>
        <w:r w:rsidRPr="005D5C32">
          <w:rPr>
            <w:rFonts w:ascii="Times New Roman" w:hAnsi="Times New Roman" w:cs="Times New Roman"/>
            <w:lang w:val="en-US"/>
          </w:rPr>
          <w:t>view</w:t>
        </w:r>
        <w:r w:rsidRPr="00F849DA">
          <w:rPr>
            <w:rFonts w:ascii="Times New Roman" w:hAnsi="Times New Roman" w:cs="Times New Roman"/>
            <w:lang w:val="en-US"/>
          </w:rPr>
          <w:t>=</w:t>
        </w:r>
        <w:r w:rsidRPr="005D5C32">
          <w:rPr>
            <w:rFonts w:ascii="Times New Roman" w:hAnsi="Times New Roman" w:cs="Times New Roman"/>
            <w:lang w:val="en-US"/>
          </w:rPr>
          <w:t>chart</w:t>
        </w:r>
        <w:r w:rsidRPr="00F849DA">
          <w:rPr>
            <w:rFonts w:ascii="Times New Roman" w:hAnsi="Times New Roman" w:cs="Times New Roman"/>
            <w:lang w:val="en-US"/>
          </w:rPr>
          <w:t>&amp;</w:t>
        </w:r>
        <w:r w:rsidRPr="005D5C32">
          <w:rPr>
            <w:rFonts w:ascii="Times New Roman" w:hAnsi="Times New Roman" w:cs="Times New Roman"/>
            <w:lang w:val="en-US"/>
          </w:rPr>
          <w:t>year</w:t>
        </w:r>
        <w:r w:rsidRPr="00F849DA">
          <w:rPr>
            <w:rFonts w:ascii="Times New Roman" w:hAnsi="Times New Roman" w:cs="Times New Roman"/>
            <w:lang w:val="en-US"/>
          </w:rPr>
          <w:t>=1961</w:t>
        </w:r>
      </w:hyperlink>
      <w:r w:rsidR="00FC7EC5" w:rsidRPr="00F849DA">
        <w:rPr>
          <w:rFonts w:ascii="Times New Roman" w:hAnsi="Times New Roman" w:cs="Times New Roman"/>
          <w:lang w:val="en-US"/>
        </w:rPr>
        <w:t xml:space="preserve"> </w:t>
      </w:r>
    </w:p>
    <w:p w14:paraId="6F51670F" w14:textId="77777777" w:rsidR="00C067BE" w:rsidRPr="00F849DA" w:rsidRDefault="00C067BE" w:rsidP="00C06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ascii="Times New Roman" w:hAnsi="Times New Roman" w:cs="Times New Roman"/>
          <w:lang w:val="en-US"/>
        </w:rPr>
      </w:pPr>
    </w:p>
    <w:p w14:paraId="3AF53B99" w14:textId="77777777" w:rsidR="00BD5538" w:rsidRPr="00F849DA" w:rsidRDefault="00BD5538">
      <w:pPr>
        <w:rPr>
          <w:lang w:val="en-US"/>
        </w:rPr>
      </w:pPr>
    </w:p>
    <w:sectPr w:rsidR="00BD5538" w:rsidRPr="00F849DA" w:rsidSect="00D46D34">
      <w:endnotePr>
        <w:numFmt w:val="decimal"/>
      </w:endnotePr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D6FC6"/>
    <w:multiLevelType w:val="hybridMultilevel"/>
    <w:tmpl w:val="C2223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095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BE"/>
    <w:rsid w:val="000601AC"/>
    <w:rsid w:val="00755D28"/>
    <w:rsid w:val="0076033E"/>
    <w:rsid w:val="007863F9"/>
    <w:rsid w:val="00793CC4"/>
    <w:rsid w:val="00BD5538"/>
    <w:rsid w:val="00C067BE"/>
    <w:rsid w:val="00D46D34"/>
    <w:rsid w:val="00F849DA"/>
    <w:rsid w:val="00F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5D5B"/>
  <w15:chartTrackingRefBased/>
  <w15:docId w15:val="{1E57194B-486C-4B3C-AF50-FAED95EE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BE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7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67B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067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67B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67BE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01A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01AC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character" w:styleId="aa">
    <w:name w:val="Unresolved Mention"/>
    <w:basedOn w:val="a0"/>
    <w:uiPriority w:val="99"/>
    <w:semiHidden/>
    <w:unhideWhenUsed/>
    <w:rsid w:val="00FC7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rtilizer.org/science/publications-d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o.org/faostat/ru/#data/RF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endeconomy.ru/data/h2?commodity=31,TOTAL&amp;reporter=China&amp;trade_flow=Export&amp;partner=World&amp;indicator=TV&amp;time_period=2022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isaveta.komarova@icloud.com" TargetMode="External"/><Relationship Id="rId10" Type="http://schemas.openxmlformats.org/officeDocument/2006/relationships/hyperlink" Target="https://data.worldbank.org/indicator/AG.CON.FERT.ZS?end=2021&amp;name_desc=false&amp;start=1961&amp;type=points&amp;view=chart&amp;year=19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ctadstat.unctad.org/datacentre/dataviewer/US.IntraTra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Komarov</dc:creator>
  <cp:keywords/>
  <dc:description/>
  <cp:lastModifiedBy>Vyacheslav Komarov</cp:lastModifiedBy>
  <cp:revision>3</cp:revision>
  <dcterms:created xsi:type="dcterms:W3CDTF">2024-02-29T16:42:00Z</dcterms:created>
  <dcterms:modified xsi:type="dcterms:W3CDTF">2024-02-29T17:54:00Z</dcterms:modified>
</cp:coreProperties>
</file>