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17" w:rsidRPr="00651685" w:rsidRDefault="00664117" w:rsidP="00664117">
      <w:pPr>
        <w:pStyle w:val="a4"/>
        <w:spacing w:before="0" w:beforeAutospacing="0" w:after="0" w:afterAutospacing="0"/>
        <w:jc w:val="center"/>
        <w:rPr>
          <w:rFonts w:eastAsia="Times New Roman"/>
          <w:b/>
          <w:color w:val="000000"/>
        </w:rPr>
      </w:pPr>
      <w:r w:rsidRPr="00651685">
        <w:rPr>
          <w:rFonts w:eastAsia="Times New Roman"/>
          <w:b/>
          <w:color w:val="000000"/>
        </w:rPr>
        <w:t>«</w:t>
      </w:r>
      <w:r>
        <w:rPr>
          <w:rFonts w:eastAsia="Times New Roman"/>
          <w:b/>
          <w:color w:val="000000"/>
        </w:rPr>
        <w:t>Обзо</w:t>
      </w:r>
      <w:r w:rsidR="006B3476">
        <w:rPr>
          <w:rFonts w:eastAsia="Times New Roman"/>
          <w:b/>
          <w:color w:val="000000"/>
        </w:rPr>
        <w:t xml:space="preserve">р развития мирового рынка </w:t>
      </w:r>
      <w:r w:rsidR="00B21F9E">
        <w:rPr>
          <w:rFonts w:eastAsia="Times New Roman"/>
          <w:b/>
          <w:color w:val="000000"/>
        </w:rPr>
        <w:t>каменного</w:t>
      </w:r>
      <w:r w:rsidR="006B3476">
        <w:rPr>
          <w:rFonts w:eastAsia="Times New Roman"/>
          <w:b/>
          <w:color w:val="000000"/>
        </w:rPr>
        <w:t xml:space="preserve"> угля в </w:t>
      </w:r>
      <w:r w:rsidR="006B3476">
        <w:rPr>
          <w:rFonts w:eastAsia="Times New Roman"/>
          <w:b/>
          <w:color w:val="000000"/>
          <w:lang w:val="en-US"/>
        </w:rPr>
        <w:t>XXI</w:t>
      </w:r>
      <w:r w:rsidR="006B3476">
        <w:rPr>
          <w:rFonts w:eastAsia="Times New Roman"/>
          <w:b/>
          <w:color w:val="000000"/>
        </w:rPr>
        <w:t xml:space="preserve"> веке</w:t>
      </w:r>
      <w:r w:rsidRPr="00651685">
        <w:rPr>
          <w:rFonts w:eastAsia="Times New Roman"/>
          <w:b/>
          <w:color w:val="000000"/>
        </w:rPr>
        <w:t>»</w:t>
      </w:r>
    </w:p>
    <w:p w:rsidR="00664117" w:rsidRPr="00651685" w:rsidRDefault="00664117" w:rsidP="00664117">
      <w:pPr>
        <w:pStyle w:val="a4"/>
        <w:spacing w:before="0" w:beforeAutospacing="0" w:after="0" w:afterAutospacing="0"/>
        <w:jc w:val="center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Москворецкий П.С.</w:t>
      </w:r>
    </w:p>
    <w:p w:rsidR="00664117" w:rsidRPr="00EB5998" w:rsidRDefault="00EB5998" w:rsidP="00664117">
      <w:pPr>
        <w:pStyle w:val="a4"/>
        <w:spacing w:before="0" w:beforeAutospacing="0" w:after="0" w:afterAutospacing="0"/>
        <w:jc w:val="center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>Аспирант</w:t>
      </w:r>
    </w:p>
    <w:p w:rsidR="00664117" w:rsidRPr="006B3476" w:rsidRDefault="006B3476" w:rsidP="00664117">
      <w:pPr>
        <w:pStyle w:val="a4"/>
        <w:spacing w:before="0" w:beforeAutospacing="0" w:after="0" w:afterAutospacing="0"/>
        <w:jc w:val="center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>Институт Европы Российской академии наук, Москва, Россия</w:t>
      </w:r>
    </w:p>
    <w:p w:rsidR="00664117" w:rsidRPr="00E83020" w:rsidRDefault="00664117" w:rsidP="00664117">
      <w:pPr>
        <w:pStyle w:val="a4"/>
        <w:spacing w:before="0" w:beforeAutospacing="0" w:after="0" w:afterAutospacing="0"/>
        <w:jc w:val="center"/>
        <w:rPr>
          <w:rFonts w:eastAsia="Times New Roman"/>
          <w:b/>
          <w:i/>
          <w:color w:val="000000"/>
          <w:lang w:val="en-US"/>
        </w:rPr>
      </w:pPr>
      <w:r w:rsidRPr="00EB0A02">
        <w:rPr>
          <w:i/>
          <w:lang w:val="de-DE"/>
        </w:rPr>
        <w:t>E</w:t>
      </w:r>
      <w:r w:rsidRPr="00E83020">
        <w:rPr>
          <w:i/>
          <w:lang w:val="en-US"/>
        </w:rPr>
        <w:t>-</w:t>
      </w:r>
      <w:r w:rsidRPr="00EB0A02">
        <w:rPr>
          <w:i/>
          <w:lang w:val="de-DE"/>
        </w:rPr>
        <w:t>mail</w:t>
      </w:r>
      <w:r w:rsidRPr="00E83020">
        <w:rPr>
          <w:i/>
          <w:lang w:val="en-US"/>
        </w:rPr>
        <w:t xml:space="preserve">: </w:t>
      </w:r>
      <w:hyperlink r:id="rId7" w:history="1">
        <w:r w:rsidRPr="00DC4CEB">
          <w:rPr>
            <w:rStyle w:val="a3"/>
            <w:rFonts w:eastAsia="Times New Roman"/>
            <w:b/>
            <w:i/>
            <w:lang w:val="de-DE"/>
          </w:rPr>
          <w:t>moskvoretskiy.petr</w:t>
        </w:r>
        <w:r w:rsidRPr="00DC4CEB">
          <w:rPr>
            <w:rStyle w:val="a3"/>
            <w:rFonts w:eastAsia="Times New Roman"/>
            <w:b/>
            <w:i/>
            <w:lang w:val="en-US"/>
          </w:rPr>
          <w:t>@</w:t>
        </w:r>
        <w:r w:rsidRPr="00DC4CEB">
          <w:rPr>
            <w:rStyle w:val="a3"/>
            <w:rFonts w:eastAsia="Times New Roman"/>
            <w:b/>
            <w:i/>
            <w:lang w:val="de-DE"/>
          </w:rPr>
          <w:t>gmail</w:t>
        </w:r>
        <w:r w:rsidRPr="00DC4CEB">
          <w:rPr>
            <w:rStyle w:val="a3"/>
            <w:rFonts w:eastAsia="Times New Roman"/>
            <w:b/>
            <w:i/>
            <w:lang w:val="en-US"/>
          </w:rPr>
          <w:t>.</w:t>
        </w:r>
        <w:r w:rsidRPr="00DC4CEB">
          <w:rPr>
            <w:rStyle w:val="a3"/>
            <w:rFonts w:eastAsia="Times New Roman"/>
            <w:b/>
            <w:i/>
            <w:lang w:val="de-DE"/>
          </w:rPr>
          <w:t>com</w:t>
        </w:r>
      </w:hyperlink>
      <w:r w:rsidRPr="00E83020">
        <w:rPr>
          <w:rFonts w:eastAsia="Times New Roman"/>
          <w:b/>
          <w:i/>
          <w:color w:val="000000"/>
          <w:lang w:val="en-US"/>
        </w:rPr>
        <w:t xml:space="preserve"> </w:t>
      </w:r>
    </w:p>
    <w:p w:rsidR="00664117" w:rsidRPr="00664117" w:rsidRDefault="00664117" w:rsidP="00664117">
      <w:pPr>
        <w:ind w:firstLine="567"/>
        <w:jc w:val="both"/>
        <w:rPr>
          <w:rFonts w:eastAsia="Times New Roman"/>
          <w:color w:val="000000"/>
          <w:highlight w:val="lightGray"/>
          <w:lang w:val="en-US"/>
        </w:rPr>
      </w:pPr>
    </w:p>
    <w:p w:rsidR="00E14A00" w:rsidRDefault="006B3476" w:rsidP="00664117">
      <w:pPr>
        <w:ind w:firstLine="567"/>
        <w:jc w:val="both"/>
        <w:rPr>
          <w:rFonts w:eastAsia="Times New Roman"/>
          <w:color w:val="000000"/>
        </w:rPr>
      </w:pPr>
      <w:r w:rsidRPr="006B3476">
        <w:rPr>
          <w:rFonts w:eastAsia="Times New Roman"/>
          <w:color w:val="000000"/>
        </w:rPr>
        <w:t>Каменный уголь является одним из самых доступных и традиционных источников энергии, который был основным топливом для развития промышленности в XIX</w:t>
      </w:r>
      <w:r>
        <w:rPr>
          <w:rFonts w:eastAsia="Times New Roman"/>
          <w:color w:val="000000"/>
        </w:rPr>
        <w:t>-XX веках[</w:t>
      </w:r>
      <w:r w:rsidR="00A31326">
        <w:rPr>
          <w:rFonts w:eastAsia="Times New Roman"/>
          <w:color w:val="000000"/>
        </w:rPr>
        <w:t>3</w:t>
      </w:r>
      <w:r>
        <w:rPr>
          <w:rFonts w:eastAsia="Times New Roman"/>
          <w:color w:val="000000"/>
        </w:rPr>
        <w:t>].  На сегодняшний день</w:t>
      </w:r>
      <w:r w:rsidRPr="006B3476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</w:t>
      </w:r>
      <w:r w:rsidRPr="006B3476">
        <w:rPr>
          <w:rFonts w:eastAsia="Times New Roman"/>
          <w:color w:val="000000"/>
        </w:rPr>
        <w:t>большинство развитых стран пытаются сократить использование угля в энергетике, однако роль этого источника энергии все еще велика. По данным Международного энергетического агентства, доля угля в мировом энергетическом балансе в последние годы устойчиво растет и в 2023 г. оценивается в 35%</w:t>
      </w:r>
      <w:r w:rsidR="00E14A00" w:rsidRPr="00E14A00">
        <w:rPr>
          <w:rFonts w:eastAsia="Times New Roman"/>
          <w:color w:val="000000"/>
        </w:rPr>
        <w:t>[</w:t>
      </w:r>
      <w:r w:rsidR="00A31326">
        <w:rPr>
          <w:rFonts w:eastAsia="Times New Roman"/>
          <w:color w:val="000000"/>
        </w:rPr>
        <w:t>2</w:t>
      </w:r>
      <w:r w:rsidR="00E14A00" w:rsidRPr="00E14A00">
        <w:rPr>
          <w:rFonts w:eastAsia="Times New Roman"/>
          <w:color w:val="000000"/>
        </w:rPr>
        <w:t>]</w:t>
      </w:r>
      <w:r w:rsidRPr="006B3476">
        <w:rPr>
          <w:rFonts w:eastAsia="Times New Roman"/>
          <w:color w:val="000000"/>
        </w:rPr>
        <w:t>.</w:t>
      </w:r>
    </w:p>
    <w:p w:rsidR="00E14A00" w:rsidRPr="00E14A00" w:rsidRDefault="00E14A00" w:rsidP="00E14A00">
      <w:pPr>
        <w:ind w:firstLine="567"/>
        <w:jc w:val="both"/>
        <w:rPr>
          <w:rFonts w:eastAsia="Times New Roman"/>
          <w:color w:val="000000"/>
        </w:rPr>
      </w:pPr>
      <w:r w:rsidRPr="00E14A00">
        <w:rPr>
          <w:rFonts w:eastAsia="Times New Roman"/>
          <w:color w:val="000000"/>
        </w:rPr>
        <w:t>Мировое производство угля стабильно росло каждый год до 2013 г., после чего объемы производства сократились на 9% к 2016 г., после чего восстановились до уровня 2013г. в 2019 г. Данное снижение мирового производства связывают, главным образом, с влиянием сланцевой революции на конкурентоспособность замещающих уголь источников энергии – нефти и газа[</w:t>
      </w:r>
      <w:r w:rsidR="00A31326">
        <w:rPr>
          <w:rFonts w:eastAsia="Times New Roman"/>
          <w:color w:val="000000"/>
        </w:rPr>
        <w:t>1</w:t>
      </w:r>
      <w:r w:rsidRPr="00E14A00">
        <w:rPr>
          <w:rFonts w:eastAsia="Times New Roman"/>
          <w:color w:val="000000"/>
        </w:rPr>
        <w:t>].  Избыточное предложение данных видов топлива на энергетическом рынке, позволило заместить часть потребляемого угля на ключевых рынках. Наиболее заметное снижение доли в мировом производстве угля произошло в США. В 2016 г. его доля составляла только 9%, по сравнению с показателем 21% в 2000 г.</w:t>
      </w:r>
    </w:p>
    <w:p w:rsidR="006B3476" w:rsidRDefault="00E14A00" w:rsidP="00E14A00">
      <w:pPr>
        <w:ind w:firstLine="567"/>
        <w:jc w:val="both"/>
        <w:rPr>
          <w:rFonts w:eastAsia="Times New Roman"/>
          <w:color w:val="000000"/>
        </w:rPr>
      </w:pPr>
      <w:r w:rsidRPr="00E14A00">
        <w:rPr>
          <w:rFonts w:eastAsia="Times New Roman"/>
          <w:color w:val="000000"/>
        </w:rPr>
        <w:t xml:space="preserve">В 2020 г. мировое производство угля снизилось на 4% в связи с общим замедлением мировой экономики в условиях развернувшейся пандемии </w:t>
      </w:r>
      <w:r w:rsidRPr="00E14A00">
        <w:rPr>
          <w:rFonts w:eastAsia="Times New Roman"/>
          <w:color w:val="000000"/>
          <w:lang w:val="en-US"/>
        </w:rPr>
        <w:t>COVID</w:t>
      </w:r>
      <w:r w:rsidRPr="00E14A00">
        <w:rPr>
          <w:rFonts w:eastAsia="Times New Roman"/>
          <w:color w:val="000000"/>
        </w:rPr>
        <w:t xml:space="preserve">-19. После окончания острой фазы пандемии производство с 2021 г. начало восстанавливаться и достигло рекордных значений в 2023 г. </w:t>
      </w:r>
      <w:r w:rsidR="006B3476" w:rsidRPr="006B3476">
        <w:rPr>
          <w:rFonts w:eastAsia="Times New Roman"/>
          <w:color w:val="000000"/>
        </w:rPr>
        <w:t xml:space="preserve">  </w:t>
      </w:r>
    </w:p>
    <w:p w:rsidR="00E14A00" w:rsidRPr="00E14A00" w:rsidRDefault="00E14A00" w:rsidP="00E14A00">
      <w:pPr>
        <w:ind w:firstLine="567"/>
        <w:jc w:val="both"/>
        <w:rPr>
          <w:rFonts w:eastAsia="Times New Roman"/>
          <w:color w:val="000000"/>
        </w:rPr>
      </w:pPr>
      <w:r w:rsidRPr="00E14A00">
        <w:rPr>
          <w:rFonts w:eastAsia="Times New Roman"/>
          <w:color w:val="000000"/>
        </w:rPr>
        <w:t xml:space="preserve">В период 2000-2023 гг. мировое производство угля (в количественном выражении – в тоннах) увеличилось на 85%. При этом мировая торговля углем увеличилась на 135%, что произошло в первую очередь за счет стран Азии. За данный период Китай увеличил свое производство на 227%, а Индия – на 206%. Несомненным рекордсменом стала Индонезия, она нарастила добычу на 818%, то есть более чем в девять раз. Австралия также нарастила добычу твердого топлива на 43%, а Россия – на 90%. Однако, в США за данный период производство снизилось на 50%. </w:t>
      </w:r>
    </w:p>
    <w:p w:rsidR="00E14A00" w:rsidRPr="00E14A00" w:rsidRDefault="00E14A00" w:rsidP="00E14A00">
      <w:pPr>
        <w:ind w:firstLine="567"/>
        <w:jc w:val="both"/>
        <w:rPr>
          <w:rFonts w:eastAsia="Times New Roman"/>
          <w:color w:val="000000"/>
        </w:rPr>
      </w:pPr>
      <w:r w:rsidRPr="00E14A00">
        <w:rPr>
          <w:rFonts w:eastAsia="Times New Roman"/>
          <w:color w:val="000000"/>
        </w:rPr>
        <w:t>Кроме того, за период 2000-2023 гг. драматически изменилась структура мирового производства угля. Доля Китая в его мировом производстве выросла с 30% в 2000 г. до 51% в 2023 г. Напротив, доля США сократилась с 21% до 6% за тот же период. У остальных лидеров по добыче угля наблюдаются менее резкие изменения: Индия увеличила долю в мировом производстве с 7% до 12%, а Индонезия с 2% до 8%. Доля Австралии незначительно снизилась с 7% до 5% за тот же период, а доля России не изменилась и осталась на уровне 5%.</w:t>
      </w:r>
    </w:p>
    <w:p w:rsidR="00E14A00" w:rsidRDefault="00E14A00" w:rsidP="00E14A00">
      <w:pPr>
        <w:ind w:firstLine="567"/>
        <w:jc w:val="both"/>
        <w:rPr>
          <w:rFonts w:eastAsia="Times New Roman"/>
          <w:color w:val="000000"/>
        </w:rPr>
      </w:pPr>
      <w:r w:rsidRPr="00E14A00">
        <w:rPr>
          <w:rFonts w:eastAsia="Times New Roman"/>
          <w:color w:val="000000"/>
        </w:rPr>
        <w:t>Вследствие быстрого увеличения добычи угля Китаем на мировом рынке произошел крупный качественный сдвиг в сторону еще большей концентрации объемов добычи на небольшой группе стран-лидеров. Так, если на пятерку ведущих производителей в 2000 г. приходилось 71% мировой добычи, то в 2023 г. этот показатель вырос до 88%.</w:t>
      </w:r>
    </w:p>
    <w:p w:rsidR="00E14A00" w:rsidRPr="00E14A00" w:rsidRDefault="00E14A00" w:rsidP="00E14A00">
      <w:pPr>
        <w:ind w:firstLine="567"/>
        <w:jc w:val="both"/>
        <w:rPr>
          <w:rFonts w:eastAsia="Times New Roman"/>
          <w:color w:val="000000"/>
        </w:rPr>
      </w:pPr>
      <w:r w:rsidRPr="00E14A00">
        <w:rPr>
          <w:rFonts w:eastAsia="Times New Roman"/>
          <w:color w:val="000000"/>
        </w:rPr>
        <w:t>Согласно данным Международного Энергетического Агентства</w:t>
      </w:r>
      <w:r w:rsidR="00C157DB">
        <w:rPr>
          <w:rFonts w:eastAsia="Times New Roman"/>
          <w:color w:val="000000"/>
        </w:rPr>
        <w:t xml:space="preserve"> (табл.1</w:t>
      </w:r>
      <w:r w:rsidR="00C157DB" w:rsidRPr="00C157DB">
        <w:rPr>
          <w:rFonts w:eastAsia="Times New Roman"/>
          <w:color w:val="000000"/>
        </w:rPr>
        <w:t>)</w:t>
      </w:r>
      <w:r w:rsidR="00C157DB">
        <w:rPr>
          <w:rFonts w:eastAsia="Times New Roman"/>
          <w:color w:val="000000"/>
        </w:rPr>
        <w:t xml:space="preserve"> </w:t>
      </w:r>
      <w:r w:rsidRPr="00E14A00">
        <w:rPr>
          <w:rFonts w:eastAsia="Times New Roman"/>
          <w:color w:val="000000"/>
        </w:rPr>
        <w:t>мировой экспорт каменного угля вырос на 209% с 387 млн. т. в 20</w:t>
      </w:r>
      <w:r w:rsidR="004719BE">
        <w:rPr>
          <w:rFonts w:eastAsia="Times New Roman"/>
          <w:color w:val="000000"/>
        </w:rPr>
        <w:t xml:space="preserve">00 г. до 1196 млн. т. в 2023 г. </w:t>
      </w:r>
      <w:r w:rsidRPr="00E14A00">
        <w:rPr>
          <w:rFonts w:eastAsia="Times New Roman"/>
          <w:color w:val="000000"/>
        </w:rPr>
        <w:t>Кроме того, в начале XXI века на долю пяти крупнейших экспортеров угля приходилось 61% всех мировых поставок, однако в 2023 г. это показатель вырос до 81%.</w:t>
      </w:r>
    </w:p>
    <w:p w:rsidR="00E14A00" w:rsidRPr="00E14A00" w:rsidRDefault="00E14A00" w:rsidP="00E14A00">
      <w:pPr>
        <w:ind w:firstLine="567"/>
        <w:jc w:val="both"/>
        <w:rPr>
          <w:rFonts w:eastAsia="Times New Roman"/>
          <w:color w:val="000000"/>
        </w:rPr>
      </w:pPr>
      <w:r w:rsidRPr="00E14A00">
        <w:rPr>
          <w:rFonts w:eastAsia="Times New Roman"/>
          <w:color w:val="000000"/>
        </w:rPr>
        <w:t>Самый значимый вклад в рост доли лидирующих стран-экспортеров внесли Индонезия (с 9% в 2000 г. до 34% в 2023 г.) и Россия (с 6% в 2000 г. до 15% в 2023 г.)</w:t>
      </w:r>
      <w:r w:rsidR="004719BE">
        <w:rPr>
          <w:rFonts w:eastAsia="Times New Roman"/>
          <w:color w:val="000000"/>
        </w:rPr>
        <w:t xml:space="preserve"> </w:t>
      </w:r>
      <w:r w:rsidRPr="00E14A00">
        <w:rPr>
          <w:rFonts w:eastAsia="Times New Roman"/>
          <w:color w:val="000000"/>
        </w:rPr>
        <w:t>Однако, доля остальных трех крупнейших экспортеров угля снизилась за этот период в Австралии с 30% до 23%, в ЮАР с 11% до 5%, и в Колумбии с 6% до 4%.</w:t>
      </w:r>
    </w:p>
    <w:p w:rsidR="00664117" w:rsidRDefault="00E14A00" w:rsidP="004719BE">
      <w:pPr>
        <w:ind w:firstLine="567"/>
        <w:jc w:val="both"/>
        <w:rPr>
          <w:rFonts w:eastAsia="Times New Roman"/>
          <w:color w:val="000000"/>
        </w:rPr>
      </w:pPr>
      <w:r w:rsidRPr="00E14A00">
        <w:rPr>
          <w:rFonts w:eastAsia="Times New Roman"/>
          <w:color w:val="000000"/>
        </w:rPr>
        <w:t xml:space="preserve">Рост объемов добычи угля наблюдается во практически во всех ключевых странах-экспортерах. Главная причина этого явления – рост мировой экономики и спроса на </w:t>
      </w:r>
      <w:r w:rsidRPr="00E14A00">
        <w:rPr>
          <w:rFonts w:eastAsia="Times New Roman"/>
          <w:color w:val="000000"/>
        </w:rPr>
        <w:lastRenderedPageBreak/>
        <w:t>энергоресурсы. В первую очередь речь идет о быстрорастущих экономиках Азии, таких как Китай и Индия. Основными поставщиками угля в эти страны являются Австралия, Индонезия и Россия. Именно эти страны показали наибольший рост экспорта каменного угля.</w:t>
      </w:r>
    </w:p>
    <w:p w:rsidR="00B21F9E" w:rsidRDefault="00B21F9E" w:rsidP="004719BE">
      <w:pPr>
        <w:ind w:firstLine="567"/>
        <w:jc w:val="both"/>
        <w:rPr>
          <w:rFonts w:eastAsia="Times New Roman"/>
          <w:color w:val="000000"/>
        </w:rPr>
      </w:pPr>
    </w:p>
    <w:p w:rsidR="00A84C47" w:rsidRDefault="00B21F9E" w:rsidP="00A84C47">
      <w:pPr>
        <w:pStyle w:val="a9"/>
        <w:keepNext/>
        <w:jc w:val="center"/>
        <w:rPr>
          <w:b w:val="0"/>
        </w:rPr>
      </w:pPr>
      <w:r w:rsidRPr="00A84C47">
        <w:rPr>
          <w:b w:val="0"/>
        </w:rPr>
        <w:t xml:space="preserve">Таблица </w:t>
      </w:r>
      <w:r w:rsidRPr="00A84C47">
        <w:rPr>
          <w:b w:val="0"/>
        </w:rPr>
        <w:fldChar w:fldCharType="begin"/>
      </w:r>
      <w:r w:rsidRPr="00A84C47">
        <w:rPr>
          <w:b w:val="0"/>
        </w:rPr>
        <w:instrText xml:space="preserve"> SEQ Таблица \* ARABIC </w:instrText>
      </w:r>
      <w:r w:rsidRPr="00A84C47">
        <w:rPr>
          <w:b w:val="0"/>
        </w:rPr>
        <w:fldChar w:fldCharType="separate"/>
      </w:r>
      <w:r w:rsidRPr="00A84C47">
        <w:rPr>
          <w:b w:val="0"/>
          <w:noProof/>
        </w:rPr>
        <w:t>1</w:t>
      </w:r>
      <w:r w:rsidRPr="00A84C47">
        <w:rPr>
          <w:b w:val="0"/>
        </w:rPr>
        <w:fldChar w:fldCharType="end"/>
      </w:r>
      <w:r w:rsidRPr="00A84C47">
        <w:rPr>
          <w:b w:val="0"/>
        </w:rPr>
        <w:t>.Экспорт каменного угля крупнейшими странами-экспортерами и их доля на мировом рынке</w:t>
      </w:r>
    </w:p>
    <w:p w:rsidR="005552CB" w:rsidRPr="005552CB" w:rsidRDefault="005552CB" w:rsidP="005552CB">
      <w:bookmarkStart w:id="0" w:name="_GoBack"/>
      <w:bookmarkEnd w:id="0"/>
    </w:p>
    <w:p w:rsidR="00B21F9E" w:rsidRDefault="0046427D" w:rsidP="00EF738C">
      <w:pPr>
        <w:ind w:firstLine="567"/>
        <w:jc w:val="center"/>
        <w:rPr>
          <w:noProof/>
          <w:lang w:eastAsia="ru-RU"/>
        </w:rPr>
      </w:pPr>
      <w:r w:rsidRPr="00EF738C">
        <w:rPr>
          <w:noProof/>
          <w:lang w:eastAsia="ru-RU"/>
        </w:rPr>
        <w:drawing>
          <wp:inline distT="0" distB="0" distL="0" distR="0">
            <wp:extent cx="4203700" cy="311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F9E" w:rsidRDefault="00B21F9E" w:rsidP="004719BE">
      <w:pPr>
        <w:ind w:firstLine="567"/>
        <w:jc w:val="both"/>
        <w:rPr>
          <w:rFonts w:eastAsia="Times New Roman"/>
          <w:color w:val="000000"/>
        </w:rPr>
      </w:pPr>
    </w:p>
    <w:p w:rsidR="004719BE" w:rsidRDefault="004719BE" w:rsidP="00664117">
      <w:pPr>
        <w:ind w:firstLine="567"/>
        <w:jc w:val="both"/>
        <w:rPr>
          <w:rFonts w:eastAsia="Times New Roman"/>
          <w:color w:val="000000"/>
        </w:rPr>
      </w:pPr>
      <w:r w:rsidRPr="004719BE">
        <w:rPr>
          <w:rFonts w:eastAsia="Times New Roman"/>
          <w:color w:val="000000"/>
        </w:rPr>
        <w:t>Объемы мирового импорта также выросли на 169% с 399 млн. т. в 2000 г. до 1072 млн. т. в 2023 г. Кроме роста объемов экспорта, также увеличивается доля пяти крупнейших стран в мировом импорте с 64% в 2000 г. по 72% в 2023 г.</w:t>
      </w:r>
    </w:p>
    <w:p w:rsidR="004719BE" w:rsidRPr="004719BE" w:rsidRDefault="004719BE" w:rsidP="004719BE">
      <w:pPr>
        <w:ind w:firstLine="567"/>
        <w:jc w:val="both"/>
        <w:rPr>
          <w:rFonts w:eastAsia="Times New Roman"/>
          <w:color w:val="000000"/>
        </w:rPr>
      </w:pPr>
      <w:r w:rsidRPr="004719BE">
        <w:rPr>
          <w:rFonts w:eastAsia="Times New Roman"/>
          <w:color w:val="000000"/>
        </w:rPr>
        <w:t>Самый большой в рост доли импорта показали Китай (с 0,3% в 2000 г. до 30% в 2023 г.) и Индия (с 3% в 2000 г. до 16% в 2023 г.)</w:t>
      </w:r>
    </w:p>
    <w:p w:rsidR="004719BE" w:rsidRDefault="004719BE" w:rsidP="004719BE">
      <w:pPr>
        <w:ind w:firstLine="567"/>
        <w:jc w:val="both"/>
        <w:rPr>
          <w:rFonts w:eastAsia="Times New Roman"/>
          <w:color w:val="000000"/>
        </w:rPr>
      </w:pPr>
      <w:r w:rsidRPr="004719BE">
        <w:rPr>
          <w:rFonts w:eastAsia="Times New Roman"/>
          <w:color w:val="000000"/>
        </w:rPr>
        <w:t>Доля ЕС и Японии в мировом импорте угля стремительно снизилась с 26% и 24% в 2000 г. до 6% и 12% в 2023 г. Доля Южной Кореи незначительно снизилась с 10% до 8% за тот же период.</w:t>
      </w:r>
    </w:p>
    <w:p w:rsidR="004719BE" w:rsidRPr="004719BE" w:rsidRDefault="004719BE" w:rsidP="004719BE">
      <w:pPr>
        <w:ind w:firstLine="567"/>
        <w:jc w:val="both"/>
        <w:rPr>
          <w:rFonts w:eastAsia="Times New Roman"/>
          <w:color w:val="000000"/>
        </w:rPr>
      </w:pPr>
      <w:r w:rsidRPr="004719BE">
        <w:rPr>
          <w:rFonts w:eastAsia="Times New Roman"/>
          <w:color w:val="000000"/>
        </w:rPr>
        <w:t>Основной причиной возрастающего импорта угля считается рост экономик развивающихся стран в силу дешевизны данного вида топлива. И действительно, рост объемов импорта приходится именно на такие страны – Индию и Китай.</w:t>
      </w:r>
    </w:p>
    <w:p w:rsidR="004719BE" w:rsidRDefault="004719BE" w:rsidP="004719BE">
      <w:pPr>
        <w:ind w:firstLine="567"/>
        <w:jc w:val="both"/>
        <w:rPr>
          <w:rFonts w:eastAsia="Times New Roman"/>
          <w:color w:val="000000"/>
        </w:rPr>
      </w:pPr>
      <w:r w:rsidRPr="004719BE">
        <w:rPr>
          <w:rFonts w:eastAsia="Times New Roman"/>
          <w:color w:val="000000"/>
        </w:rPr>
        <w:t xml:space="preserve">Также существует обратный глобальный тренд, стимулирующий отказ от использования угля – сокращение выбросов углекислого газа. Данному тренду в первую очередь следуют экономически развитые страны, так как они могут позволить себе более дорогие, но экологически чистые источники энергии. </w:t>
      </w:r>
      <w:r w:rsidR="00B21F9E">
        <w:rPr>
          <w:rFonts w:eastAsia="Times New Roman"/>
          <w:color w:val="000000"/>
        </w:rPr>
        <w:t>Однако, е</w:t>
      </w:r>
      <w:r w:rsidRPr="004719BE">
        <w:rPr>
          <w:rFonts w:eastAsia="Times New Roman"/>
          <w:color w:val="000000"/>
        </w:rPr>
        <w:t>динственный лидер по импорту, снизивший объемы ввозимого топлива стал Европейский союз</w:t>
      </w:r>
      <w:r>
        <w:rPr>
          <w:rFonts w:eastAsia="Times New Roman"/>
          <w:color w:val="000000"/>
        </w:rPr>
        <w:t>.</w:t>
      </w:r>
      <w:r w:rsidR="00B21F9E">
        <w:rPr>
          <w:rFonts w:eastAsia="Times New Roman"/>
          <w:color w:val="000000"/>
        </w:rPr>
        <w:t xml:space="preserve"> Т</w:t>
      </w:r>
      <w:r w:rsidRPr="004719BE">
        <w:rPr>
          <w:rFonts w:eastAsia="Times New Roman"/>
          <w:color w:val="000000"/>
        </w:rPr>
        <w:t>акие развитые страны Азии, как Япония и Корея не спешат резко наращивать или сокращать объемы импорта каменного угля, балансируя между достижением глобальных экологических целей и энергетической безопасностью собственных экономик.</w:t>
      </w:r>
    </w:p>
    <w:p w:rsidR="00664117" w:rsidRDefault="00664117" w:rsidP="00B21F9E">
      <w:pPr>
        <w:rPr>
          <w:rFonts w:eastAsia="Times New Roman"/>
          <w:b/>
        </w:rPr>
      </w:pPr>
    </w:p>
    <w:p w:rsidR="00664117" w:rsidRDefault="00664117" w:rsidP="00664117">
      <w:pPr>
        <w:jc w:val="center"/>
        <w:rPr>
          <w:rFonts w:eastAsia="Times New Roman"/>
          <w:b/>
        </w:rPr>
      </w:pPr>
      <w:r w:rsidRPr="00811197">
        <w:rPr>
          <w:rFonts w:eastAsia="Times New Roman"/>
          <w:b/>
        </w:rPr>
        <w:t>Источники и литература</w:t>
      </w:r>
    </w:p>
    <w:p w:rsidR="00664117" w:rsidRPr="00811197" w:rsidRDefault="00664117" w:rsidP="00664117">
      <w:pPr>
        <w:jc w:val="center"/>
        <w:rPr>
          <w:rFonts w:eastAsia="Times New Roman"/>
          <w:b/>
        </w:rPr>
      </w:pPr>
    </w:p>
    <w:p w:rsidR="00A31326" w:rsidRPr="00B21F9E" w:rsidRDefault="00A31326" w:rsidP="00A31326">
      <w:pPr>
        <w:pStyle w:val="a7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  <w:lang w:val="en-US" w:eastAsia="zh-CN"/>
        </w:rPr>
      </w:pPr>
      <w:r w:rsidRPr="00B21F9E">
        <w:rPr>
          <w:rFonts w:ascii="Times New Roman" w:eastAsia="Times New Roman" w:hAnsi="Times New Roman"/>
          <w:color w:val="000000"/>
          <w:sz w:val="24"/>
          <w:szCs w:val="24"/>
          <w:lang w:val="en-US" w:eastAsia="zh-CN"/>
        </w:rPr>
        <w:t>Сланцевая революция и глобальный энергетический переход / Под ред. Н. А. Иванова. — М. ; СПб. : Нестор-История, 2019. — 342 с</w:t>
      </w:r>
    </w:p>
    <w:p w:rsidR="004719BE" w:rsidRPr="004719BE" w:rsidRDefault="004719BE" w:rsidP="004719BE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r>
        <w:rPr>
          <w:rFonts w:eastAsia="Times New Roman"/>
          <w:color w:val="000000"/>
          <w:lang w:val="en-US"/>
        </w:rPr>
        <w:t>International</w:t>
      </w:r>
      <w:r w:rsidRPr="0066411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Energy</w:t>
      </w:r>
      <w:r w:rsidRPr="0066411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Agency</w:t>
      </w:r>
    </w:p>
    <w:p w:rsidR="00664117" w:rsidRPr="00B21F9E" w:rsidRDefault="004719BE" w:rsidP="00B21F9E">
      <w:pPr>
        <w:numPr>
          <w:ilvl w:val="0"/>
          <w:numId w:val="1"/>
        </w:numPr>
        <w:contextualSpacing/>
        <w:rPr>
          <w:rFonts w:eastAsia="Times New Roman"/>
          <w:lang w:val="en-US"/>
        </w:rPr>
      </w:pPr>
      <w:r w:rsidRPr="00DA1B3B">
        <w:rPr>
          <w:lang w:val="en-US"/>
        </w:rPr>
        <w:t xml:space="preserve">The Historical Impact of Coal on Cities Karen Clay, Joshua A. Lewis, and Edson R. Severnini NBER Working Paper No. 31365 June 2023 </w:t>
      </w:r>
      <w:r w:rsidR="00664117" w:rsidRPr="00664117">
        <w:rPr>
          <w:lang w:val="en-US"/>
        </w:rPr>
        <w:t xml:space="preserve">  </w:t>
      </w:r>
    </w:p>
    <w:sectPr w:rsidR="00664117" w:rsidRPr="00B2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8D" w:rsidRDefault="00885B8D" w:rsidP="006B3476">
      <w:r>
        <w:separator/>
      </w:r>
    </w:p>
  </w:endnote>
  <w:endnote w:type="continuationSeparator" w:id="0">
    <w:p w:rsidR="00885B8D" w:rsidRDefault="00885B8D" w:rsidP="006B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8D" w:rsidRDefault="00885B8D" w:rsidP="006B3476">
      <w:r>
        <w:separator/>
      </w:r>
    </w:p>
  </w:footnote>
  <w:footnote w:type="continuationSeparator" w:id="0">
    <w:p w:rsidR="00885B8D" w:rsidRDefault="00885B8D" w:rsidP="006B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C6C15"/>
    <w:multiLevelType w:val="hybridMultilevel"/>
    <w:tmpl w:val="E3549A56"/>
    <w:lvl w:ilvl="0" w:tplc="36861D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C3"/>
    <w:rsid w:val="000E7DC3"/>
    <w:rsid w:val="0014007F"/>
    <w:rsid w:val="0046427D"/>
    <w:rsid w:val="004719BE"/>
    <w:rsid w:val="0052229F"/>
    <w:rsid w:val="005552CB"/>
    <w:rsid w:val="00632296"/>
    <w:rsid w:val="00664117"/>
    <w:rsid w:val="006B3476"/>
    <w:rsid w:val="00747934"/>
    <w:rsid w:val="00751929"/>
    <w:rsid w:val="00885B8D"/>
    <w:rsid w:val="00A31326"/>
    <w:rsid w:val="00A84C47"/>
    <w:rsid w:val="00B21F9E"/>
    <w:rsid w:val="00C157DB"/>
    <w:rsid w:val="00D34473"/>
    <w:rsid w:val="00E14A00"/>
    <w:rsid w:val="00E651B0"/>
    <w:rsid w:val="00EB5998"/>
    <w:rsid w:val="00ED77C4"/>
    <w:rsid w:val="00E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BFE4"/>
  <w15:chartTrackingRefBased/>
  <w15:docId w15:val="{BBE5EC82-169B-4600-897D-94ABC29C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17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41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4117"/>
    <w:pPr>
      <w:spacing w:before="100" w:beforeAutospacing="1" w:after="100" w:afterAutospacing="1"/>
    </w:pPr>
  </w:style>
  <w:style w:type="character" w:styleId="a5">
    <w:name w:val="FollowedHyperlink"/>
    <w:uiPriority w:val="99"/>
    <w:semiHidden/>
    <w:unhideWhenUsed/>
    <w:rsid w:val="00664117"/>
    <w:rPr>
      <w:color w:val="954F72"/>
      <w:u w:val="single"/>
    </w:rPr>
  </w:style>
  <w:style w:type="character" w:styleId="a6">
    <w:name w:val="footnote reference"/>
    <w:uiPriority w:val="99"/>
    <w:semiHidden/>
    <w:unhideWhenUsed/>
    <w:rsid w:val="004719B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A31326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semiHidden/>
    <w:rsid w:val="00A31326"/>
    <w:rPr>
      <w:lang w:eastAsia="en-US"/>
    </w:rPr>
  </w:style>
  <w:style w:type="paragraph" w:styleId="a9">
    <w:name w:val="caption"/>
    <w:basedOn w:val="a"/>
    <w:next w:val="a"/>
    <w:uiPriority w:val="35"/>
    <w:unhideWhenUsed/>
    <w:qFormat/>
    <w:rsid w:val="00B21F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oskvoretskiy.pet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5813</CharactersWithSpaces>
  <SharedDoc>false</SharedDoc>
  <HLinks>
    <vt:vector size="6" baseType="variant">
      <vt:variant>
        <vt:i4>2031726</vt:i4>
      </vt:variant>
      <vt:variant>
        <vt:i4>0</vt:i4>
      </vt:variant>
      <vt:variant>
        <vt:i4>0</vt:i4>
      </vt:variant>
      <vt:variant>
        <vt:i4>5</vt:i4>
      </vt:variant>
      <vt:variant>
        <vt:lpwstr>mailto:moskvoretskiy.petr@gmail.com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Москворецкий Петр Сергеевич</dc:creator>
  <cp:keywords/>
  <dc:description/>
  <cp:lastModifiedBy>Москворецкий Петр Сергеевич \ Petr Moskvoretskii</cp:lastModifiedBy>
  <cp:revision>3</cp:revision>
  <dcterms:created xsi:type="dcterms:W3CDTF">2024-03-01T09:44:00Z</dcterms:created>
  <dcterms:modified xsi:type="dcterms:W3CDTF">2024-03-01T09:45:00Z</dcterms:modified>
</cp:coreProperties>
</file>