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63770" w14:textId="3A68F173" w:rsidR="0005357F" w:rsidRPr="00F008EF" w:rsidRDefault="00F008EF" w:rsidP="00F008EF">
      <w:pPr>
        <w:spacing w:after="0" w:line="259" w:lineRule="auto"/>
        <w:ind w:left="54" w:firstLine="0"/>
        <w:jc w:val="center"/>
        <w:rPr>
          <w:b/>
          <w:lang w:val="en-US"/>
        </w:rPr>
      </w:pPr>
      <w:r w:rsidRPr="00F008EF">
        <w:rPr>
          <w:b/>
          <w:lang w:val="en-US"/>
        </w:rPr>
        <w:t>“ESG: TRANSFORMING BUSINESS FOR A SUSTAINABLE FUTURE IN THE ERA OF GLOBAL CHANGE”</w:t>
      </w:r>
      <w:r w:rsidRPr="00DA7CCE">
        <w:rPr>
          <w:rFonts w:ascii="Calibri" w:eastAsia="Calibri" w:hAnsi="Calibri" w:cs="Calibri"/>
          <w:lang w:val="en-US"/>
        </w:rPr>
        <w:t xml:space="preserve"> </w:t>
      </w:r>
    </w:p>
    <w:p w14:paraId="0179C2EB" w14:textId="0BFB51DE" w:rsidR="0005357F" w:rsidRPr="00F008EF" w:rsidRDefault="00F008EF">
      <w:pPr>
        <w:spacing w:after="78" w:line="259" w:lineRule="auto"/>
        <w:ind w:left="721"/>
        <w:jc w:val="center"/>
        <w:rPr>
          <w:b/>
          <w:lang w:val="en-US"/>
        </w:rPr>
      </w:pPr>
      <w:r>
        <w:rPr>
          <w:b/>
          <w:lang w:val="en-US"/>
        </w:rPr>
        <w:t>Bocharova Vita</w:t>
      </w:r>
    </w:p>
    <w:p w14:paraId="37377555" w14:textId="20E25F63" w:rsidR="0005357F" w:rsidRPr="003F4C91" w:rsidRDefault="00F008EF" w:rsidP="003F4C91">
      <w:pPr>
        <w:spacing w:after="78" w:line="259" w:lineRule="auto"/>
        <w:ind w:left="721"/>
        <w:jc w:val="center"/>
        <w:rPr>
          <w:bCs/>
          <w:lang w:val="en-US"/>
        </w:rPr>
      </w:pPr>
      <w:r w:rsidRPr="00F008EF">
        <w:rPr>
          <w:b/>
          <w:lang w:val="en-US"/>
        </w:rPr>
        <w:t xml:space="preserve">Supervisor: </w:t>
      </w:r>
      <w:proofErr w:type="spellStart"/>
      <w:r w:rsidR="003F4C91">
        <w:rPr>
          <w:bCs/>
          <w:lang w:val="en-US"/>
        </w:rPr>
        <w:t>Berberova</w:t>
      </w:r>
      <w:proofErr w:type="spellEnd"/>
      <w:r w:rsidR="003F4C91">
        <w:rPr>
          <w:bCs/>
          <w:lang w:val="en-US"/>
        </w:rPr>
        <w:t xml:space="preserve"> </w:t>
      </w:r>
      <w:r w:rsidR="003F4C91" w:rsidRPr="003F4C91">
        <w:rPr>
          <w:bCs/>
          <w:lang w:val="en-US"/>
        </w:rPr>
        <w:t xml:space="preserve">Liana </w:t>
      </w:r>
      <w:proofErr w:type="spellStart"/>
      <w:r w:rsidR="003F4C91" w:rsidRPr="003F4C91">
        <w:rPr>
          <w:bCs/>
          <w:lang w:val="en-US"/>
        </w:rPr>
        <w:t>Burkhanovna</w:t>
      </w:r>
      <w:proofErr w:type="spellEnd"/>
    </w:p>
    <w:p w14:paraId="533374A9" w14:textId="1EC8A0A8" w:rsidR="0005357F" w:rsidRPr="00DA7CCE" w:rsidRDefault="00000000" w:rsidP="006159AF">
      <w:pPr>
        <w:spacing w:after="20" w:line="259" w:lineRule="auto"/>
        <w:ind w:left="2221"/>
        <w:jc w:val="left"/>
        <w:rPr>
          <w:lang w:val="en-US"/>
        </w:rPr>
      </w:pPr>
      <w:r w:rsidRPr="00DA7CCE">
        <w:rPr>
          <w:i/>
          <w:vertAlign w:val="superscript"/>
          <w:lang w:val="en-US"/>
        </w:rPr>
        <w:t>1</w:t>
      </w:r>
      <w:r w:rsidR="00F008EF">
        <w:rPr>
          <w:i/>
          <w:lang w:val="en-US"/>
        </w:rPr>
        <w:t>Financial University</w:t>
      </w:r>
      <w:r w:rsidRPr="00DA7CCE">
        <w:rPr>
          <w:i/>
          <w:lang w:val="en-US"/>
        </w:rPr>
        <w:t xml:space="preserve">, Russia, </w:t>
      </w:r>
      <w:r w:rsidR="00EF0430">
        <w:rPr>
          <w:i/>
          <w:lang w:val="en-US"/>
        </w:rPr>
        <w:t>vitabocharova988</w:t>
      </w:r>
      <w:r w:rsidRPr="00DA7CCE">
        <w:rPr>
          <w:i/>
          <w:lang w:val="en-US"/>
        </w:rPr>
        <w:t>@</w:t>
      </w:r>
      <w:r w:rsidR="00EF0430">
        <w:rPr>
          <w:i/>
          <w:lang w:val="en-US"/>
        </w:rPr>
        <w:t>mail</w:t>
      </w:r>
      <w:r w:rsidRPr="00DA7CCE">
        <w:rPr>
          <w:i/>
          <w:lang w:val="en-US"/>
        </w:rPr>
        <w:t xml:space="preserve">.ru  </w:t>
      </w:r>
    </w:p>
    <w:p w14:paraId="780F514E" w14:textId="77777777" w:rsidR="0005357F" w:rsidRPr="00F008EF" w:rsidRDefault="00000000">
      <w:pPr>
        <w:spacing w:after="5" w:line="259" w:lineRule="auto"/>
        <w:ind w:left="0" w:right="1335" w:firstLine="0"/>
        <w:jc w:val="right"/>
        <w:rPr>
          <w:lang w:val="en-US"/>
        </w:rPr>
      </w:pPr>
      <w:r>
        <w:rPr>
          <w:rFonts w:ascii="Calibri" w:eastAsia="Calibri" w:hAnsi="Calibri" w:cs="Calibri"/>
          <w:noProof/>
          <w:sz w:val="22"/>
        </w:rPr>
        <mc:AlternateContent>
          <mc:Choice Requires="wpg">
            <w:drawing>
              <wp:inline distT="0" distB="0" distL="0" distR="0" wp14:anchorId="51C18FE6" wp14:editId="09BA4C7D">
                <wp:extent cx="5040631" cy="13970"/>
                <wp:effectExtent l="0" t="0" r="0" b="0"/>
                <wp:docPr id="1567" name="Group 1567"/>
                <wp:cNvGraphicFramePr/>
                <a:graphic xmlns:a="http://schemas.openxmlformats.org/drawingml/2006/main">
                  <a:graphicData uri="http://schemas.microsoft.com/office/word/2010/wordprocessingGroup">
                    <wpg:wgp>
                      <wpg:cNvGrpSpPr/>
                      <wpg:grpSpPr>
                        <a:xfrm>
                          <a:off x="0" y="0"/>
                          <a:ext cx="5040631" cy="13970"/>
                          <a:chOff x="0" y="0"/>
                          <a:chExt cx="5040631" cy="13970"/>
                        </a:xfrm>
                      </wpg:grpSpPr>
                      <wps:wsp>
                        <wps:cNvPr id="218" name="Shape 218"/>
                        <wps:cNvSpPr/>
                        <wps:spPr>
                          <a:xfrm>
                            <a:off x="0" y="0"/>
                            <a:ext cx="5040631" cy="13970"/>
                          </a:xfrm>
                          <a:custGeom>
                            <a:avLst/>
                            <a:gdLst/>
                            <a:ahLst/>
                            <a:cxnLst/>
                            <a:rect l="0" t="0" r="0" b="0"/>
                            <a:pathLst>
                              <a:path w="5040631" h="13970">
                                <a:moveTo>
                                  <a:pt x="0" y="13970"/>
                                </a:moveTo>
                                <a:lnTo>
                                  <a:pt x="5040631" y="13970"/>
                                </a:lnTo>
                                <a:lnTo>
                                  <a:pt x="5040631"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7" style="width:396.9pt;height:1.09998pt;mso-position-horizontal-relative:char;mso-position-vertical-relative:line" coordsize="50406,139">
                <v:shape id="Shape 218" style="position:absolute;width:50406;height:139;left:0;top:0;" coordsize="5040631,13970" path="m0,13970l5040631,13970l5040631,0l0,0x">
                  <v:stroke weight="0.75pt" endcap="flat" joinstyle="miter" miterlimit="10" on="true" color="#000000"/>
                  <v:fill on="false" color="#000000" opacity="0"/>
                </v:shape>
              </v:group>
            </w:pict>
          </mc:Fallback>
        </mc:AlternateContent>
      </w:r>
      <w:r w:rsidRPr="00F008EF">
        <w:rPr>
          <w:sz w:val="24"/>
          <w:lang w:val="en-US"/>
        </w:rPr>
        <w:t xml:space="preserve"> </w:t>
      </w:r>
    </w:p>
    <w:p w14:paraId="7EAF1C56" w14:textId="4DA64387" w:rsidR="0005357F" w:rsidRPr="00F008EF" w:rsidRDefault="00000000" w:rsidP="00EF0430">
      <w:pPr>
        <w:spacing w:after="25" w:line="259" w:lineRule="auto"/>
        <w:ind w:left="-5"/>
        <w:rPr>
          <w:lang w:val="en-US"/>
        </w:rPr>
      </w:pPr>
      <w:r w:rsidRPr="00F008EF">
        <w:rPr>
          <w:b/>
          <w:lang w:val="en-US"/>
        </w:rPr>
        <w:t>Abstract.</w:t>
      </w:r>
      <w:r w:rsidRPr="00F008EF">
        <w:rPr>
          <w:lang w:val="en-US"/>
        </w:rPr>
        <w:t xml:space="preserve">  </w:t>
      </w:r>
      <w:r w:rsidR="00F008EF" w:rsidRPr="00D40DF4">
        <w:rPr>
          <w:lang w:val="en-US"/>
        </w:rPr>
        <w:t>This article explores the importance of adopting the ESG</w:t>
      </w:r>
      <w:r w:rsidR="00DB0100">
        <w:rPr>
          <w:lang w:val="en-US"/>
        </w:rPr>
        <w:t>-</w:t>
      </w:r>
      <w:r w:rsidR="00F008EF" w:rsidRPr="00D40DF4">
        <w:rPr>
          <w:lang w:val="en-US"/>
        </w:rPr>
        <w:t xml:space="preserve">strategy to promote the long-term sustainability of businesses amidst global changes. It emphasizes the need for companies to integrate ESG principles into their operations, considering both financial and legal aspects. By incorporating ESG factors, businesses can effectively address environmental challenges, social issues, and governance concerns, ultimately leading to improved financial performance and risk management. The article highlights how ESG practices can enhance a company's reputation, attract investors, and meet the evolving expectations of stakeholders. Additionally, it discusses </w:t>
      </w:r>
      <w:r w:rsidR="00F008EF" w:rsidRPr="000F4BAF">
        <w:rPr>
          <w:lang w:val="en-US"/>
        </w:rPr>
        <w:t xml:space="preserve">Legal risks and rewards. Companies that do not pay proper attention to ESG factors may face legal risks, such as lawsuits or fines for violating environmental or labor laws. </w:t>
      </w:r>
    </w:p>
    <w:p w14:paraId="1EDF0AF3" w14:textId="2BE1B085" w:rsidR="0005357F" w:rsidRPr="00783472" w:rsidRDefault="00000000" w:rsidP="00EF0430">
      <w:pPr>
        <w:spacing w:after="0" w:line="259" w:lineRule="auto"/>
        <w:ind w:left="-5"/>
        <w:rPr>
          <w:lang w:val="en-US"/>
        </w:rPr>
      </w:pPr>
      <w:r w:rsidRPr="00F008EF">
        <w:rPr>
          <w:b/>
          <w:lang w:val="en-US"/>
        </w:rPr>
        <w:t>Keywords</w:t>
      </w:r>
      <w:r w:rsidRPr="00F008EF">
        <w:rPr>
          <w:lang w:val="en-US"/>
        </w:rPr>
        <w:t xml:space="preserve">:  </w:t>
      </w:r>
      <w:r w:rsidR="00783472">
        <w:rPr>
          <w:lang w:val="en-US"/>
        </w:rPr>
        <w:t>ESG-</w:t>
      </w:r>
      <w:r w:rsidR="00783472" w:rsidRPr="00783472">
        <w:rPr>
          <w:lang w:val="en-US"/>
        </w:rPr>
        <w:t xml:space="preserve">strategy, sustainable development, environmental and social initiatives, carbon footprint, greenhouse gas emissions, </w:t>
      </w:r>
      <w:r w:rsidR="00EF0430">
        <w:rPr>
          <w:lang w:val="en-US"/>
        </w:rPr>
        <w:t>P</w:t>
      </w:r>
      <w:r w:rsidR="00783472" w:rsidRPr="00783472">
        <w:rPr>
          <w:lang w:val="en-US"/>
        </w:rPr>
        <w:t>aris agreement</w:t>
      </w:r>
      <w:r w:rsidR="00DB0100">
        <w:rPr>
          <w:lang w:val="en-US"/>
        </w:rPr>
        <w:t>.</w:t>
      </w:r>
    </w:p>
    <w:p w14:paraId="6FF336B3" w14:textId="327ED9DE" w:rsidR="0005357F" w:rsidRPr="006159AF" w:rsidRDefault="00000000" w:rsidP="00DB0100">
      <w:pPr>
        <w:spacing w:after="85" w:line="259" w:lineRule="auto"/>
        <w:ind w:left="0" w:right="1335" w:firstLine="0"/>
        <w:jc w:val="right"/>
        <w:rPr>
          <w:lang w:val="en-US"/>
        </w:rPr>
      </w:pPr>
      <w:r>
        <w:rPr>
          <w:rFonts w:ascii="Calibri" w:eastAsia="Calibri" w:hAnsi="Calibri" w:cs="Calibri"/>
          <w:noProof/>
          <w:sz w:val="22"/>
        </w:rPr>
        <mc:AlternateContent>
          <mc:Choice Requires="wpg">
            <w:drawing>
              <wp:inline distT="0" distB="0" distL="0" distR="0" wp14:anchorId="4B151A65" wp14:editId="03A27D5F">
                <wp:extent cx="5040631" cy="13970"/>
                <wp:effectExtent l="0" t="0" r="0" b="0"/>
                <wp:docPr id="1568" name="Group 1568"/>
                <wp:cNvGraphicFramePr/>
                <a:graphic xmlns:a="http://schemas.openxmlformats.org/drawingml/2006/main">
                  <a:graphicData uri="http://schemas.microsoft.com/office/word/2010/wordprocessingGroup">
                    <wpg:wgp>
                      <wpg:cNvGrpSpPr/>
                      <wpg:grpSpPr>
                        <a:xfrm>
                          <a:off x="0" y="0"/>
                          <a:ext cx="5040631" cy="13970"/>
                          <a:chOff x="0" y="0"/>
                          <a:chExt cx="5040631" cy="13970"/>
                        </a:xfrm>
                      </wpg:grpSpPr>
                      <wps:wsp>
                        <wps:cNvPr id="219" name="Shape 219"/>
                        <wps:cNvSpPr/>
                        <wps:spPr>
                          <a:xfrm>
                            <a:off x="0" y="0"/>
                            <a:ext cx="5040631" cy="13970"/>
                          </a:xfrm>
                          <a:custGeom>
                            <a:avLst/>
                            <a:gdLst/>
                            <a:ahLst/>
                            <a:cxnLst/>
                            <a:rect l="0" t="0" r="0" b="0"/>
                            <a:pathLst>
                              <a:path w="5040631" h="13970">
                                <a:moveTo>
                                  <a:pt x="0" y="13970"/>
                                </a:moveTo>
                                <a:lnTo>
                                  <a:pt x="5040631" y="13970"/>
                                </a:lnTo>
                                <a:lnTo>
                                  <a:pt x="5040631"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8" style="width:396.9pt;height:1.09998pt;mso-position-horizontal-relative:char;mso-position-vertical-relative:line" coordsize="50406,139">
                <v:shape id="Shape 219" style="position:absolute;width:50406;height:139;left:0;top:0;" coordsize="5040631,13970" path="m0,13970l5040631,13970l5040631,0l0,0x">
                  <v:stroke weight="0.75pt" endcap="flat" joinstyle="miter" miterlimit="10" on="true" color="#000000"/>
                  <v:fill on="false" color="#000000" opacity="0"/>
                </v:shape>
              </v:group>
            </w:pict>
          </mc:Fallback>
        </mc:AlternateContent>
      </w:r>
      <w:r w:rsidRPr="00F008EF">
        <w:rPr>
          <w:sz w:val="24"/>
          <w:lang w:val="en-US"/>
        </w:rPr>
        <w:t xml:space="preserve"> </w:t>
      </w:r>
    </w:p>
    <w:p w14:paraId="446FACA6" w14:textId="4340945C" w:rsidR="006159AF" w:rsidRDefault="00783472" w:rsidP="006159AF">
      <w:pPr>
        <w:pStyle w:val="a3"/>
        <w:pBdr>
          <w:bottom w:val="single" w:sz="6" w:space="15" w:color="CCCCCC"/>
        </w:pBdr>
        <w:shd w:val="clear" w:color="auto" w:fill="FFFFFF"/>
        <w:spacing w:before="0" w:beforeAutospacing="0" w:after="0" w:afterAutospacing="0"/>
        <w:jc w:val="both"/>
        <w:rPr>
          <w:color w:val="000000"/>
          <w:kern w:val="2"/>
          <w:sz w:val="28"/>
          <w:szCs w:val="22"/>
          <w:lang w:val="en-US"/>
          <w14:ligatures w14:val="standardContextual"/>
        </w:rPr>
      </w:pPr>
      <w:r>
        <w:rPr>
          <w:color w:val="000000"/>
          <w:kern w:val="2"/>
          <w:sz w:val="28"/>
          <w:szCs w:val="22"/>
          <w:lang w:val="en-US"/>
          <w14:ligatures w14:val="standardContextual"/>
        </w:rPr>
        <w:t xml:space="preserve">    </w:t>
      </w:r>
      <w:r w:rsidR="006159AF" w:rsidRPr="006159AF">
        <w:rPr>
          <w:color w:val="000000"/>
          <w:kern w:val="2"/>
          <w:sz w:val="28"/>
          <w:szCs w:val="22"/>
          <w:lang w:val="en-US"/>
          <w14:ligatures w14:val="standardContextual"/>
        </w:rPr>
        <w:t>ESG (Environmental, Social, and Governance) agenda plays a significant role in its implementation in business. As current practice shows, the faster companies get on the ESG track, the less likely they are to face problems in finding investors and sometimes even their potential customers. Therefore, when talking about ESG strategy, it is necessary to consider not only through the prism of financial aspects but also to pay attention to the legal basis of companies and corporations. ESG strategy plays a key role in achieving sustainable development and increasing the investment potential of business. That is why more and more companies nowadays are switching to ESG practices and integrating them into their activities, realizing that this is not only a way to create a positive social and environmental image but also an effective tool for attracting investments and increasing competitiveness.</w:t>
      </w:r>
      <w:r w:rsidR="006159AF" w:rsidRPr="006159AF">
        <w:rPr>
          <w:color w:val="000000"/>
          <w:kern w:val="2"/>
          <w:sz w:val="28"/>
          <w:szCs w:val="22"/>
          <w:lang w:val="en-US"/>
          <w14:ligatures w14:val="standardContextual"/>
        </w:rPr>
        <w:br/>
      </w:r>
      <w:r w:rsidR="006159AF" w:rsidRPr="006159AF">
        <w:rPr>
          <w:color w:val="000000"/>
          <w:kern w:val="2"/>
          <w:sz w:val="28"/>
          <w:szCs w:val="22"/>
          <w:lang w:val="en-US"/>
          <w14:ligatures w14:val="standardContextual"/>
        </w:rPr>
        <w:br/>
      </w:r>
      <w:r>
        <w:rPr>
          <w:color w:val="000000"/>
          <w:kern w:val="2"/>
          <w:sz w:val="28"/>
          <w:szCs w:val="22"/>
          <w:lang w:val="en-US"/>
          <w14:ligatures w14:val="standardContextual"/>
        </w:rPr>
        <w:t xml:space="preserve">    </w:t>
      </w:r>
      <w:r w:rsidR="006159AF" w:rsidRPr="006159AF">
        <w:rPr>
          <w:color w:val="000000"/>
          <w:kern w:val="2"/>
          <w:sz w:val="28"/>
          <w:szCs w:val="22"/>
          <w:lang w:val="en-US"/>
          <w14:ligatures w14:val="standardContextual"/>
        </w:rPr>
        <w:t>Business today is directly dependent on the state and its policies. Within the framework of the UN Framework Convention on Climate Change on December 12, 2015, 197 countries signed the Paris Agreement, the main goal of which is to avoid a rise in Earth's temperature. Therefore, states will give advantages to those enterprises and companies that have switched to the ESG track. These advantages currently include special lending conditions: now, ⅓ of Russian banks adhere to the ESG strategy, and 20% of the rest are considering the transition to it. For example, SBER issues loans that depend on the dynamics of sustainable development indicators. And those whose activities will carry a significant carbon footprint and will not try to reduce it will be burdened with a carbon tax and other stimulating measures.</w:t>
      </w:r>
      <w:r w:rsidR="006159AF" w:rsidRPr="006159AF">
        <w:rPr>
          <w:color w:val="000000"/>
          <w:kern w:val="2"/>
          <w:sz w:val="28"/>
          <w:szCs w:val="22"/>
          <w:lang w:val="en-US"/>
          <w14:ligatures w14:val="standardContextual"/>
        </w:rPr>
        <w:br/>
      </w:r>
      <w:r w:rsidR="006159AF" w:rsidRPr="006159AF">
        <w:rPr>
          <w:color w:val="000000"/>
          <w:kern w:val="2"/>
          <w:sz w:val="28"/>
          <w:szCs w:val="22"/>
          <w:lang w:val="en-US"/>
          <w14:ligatures w14:val="standardContextual"/>
        </w:rPr>
        <w:br/>
      </w:r>
      <w:r>
        <w:rPr>
          <w:color w:val="000000"/>
          <w:kern w:val="2"/>
          <w:sz w:val="28"/>
          <w:szCs w:val="22"/>
          <w:lang w:val="en-US"/>
          <w14:ligatures w14:val="standardContextual"/>
        </w:rPr>
        <w:t xml:space="preserve">    </w:t>
      </w:r>
      <w:r w:rsidR="006159AF" w:rsidRPr="006159AF">
        <w:rPr>
          <w:color w:val="000000"/>
          <w:kern w:val="2"/>
          <w:sz w:val="28"/>
          <w:szCs w:val="22"/>
          <w:lang w:val="en-US"/>
          <w14:ligatures w14:val="standardContextual"/>
        </w:rPr>
        <w:t xml:space="preserve">One of the main advantages of the ESG strategy is attracting investments. Modern </w:t>
      </w:r>
      <w:r w:rsidR="006159AF" w:rsidRPr="006159AF">
        <w:rPr>
          <w:color w:val="000000"/>
          <w:kern w:val="2"/>
          <w:sz w:val="28"/>
          <w:szCs w:val="22"/>
          <w:lang w:val="en-US"/>
          <w14:ligatures w14:val="standardContextual"/>
        </w:rPr>
        <w:lastRenderedPageBreak/>
        <w:t>investors are increasingly focusing on ESG factors when making investment decisions. Companies that implement ESG practices in their activities can attract more investment and obtain credit at lower rates. Investors, investing their money, rely on the legal basis dependent on state policy, therefore they strive to invest in companies that show social and environmental initiatives, aiming for the long-term success of the company, which is measured by the presence of ESG strategies.</w:t>
      </w:r>
      <w:r w:rsidR="006159AF" w:rsidRPr="006159AF">
        <w:rPr>
          <w:color w:val="000000"/>
          <w:kern w:val="2"/>
          <w:sz w:val="28"/>
          <w:szCs w:val="22"/>
          <w:lang w:val="en-US"/>
          <w14:ligatures w14:val="standardContextual"/>
        </w:rPr>
        <w:br/>
      </w:r>
      <w:r w:rsidR="006159AF" w:rsidRPr="006159AF">
        <w:rPr>
          <w:color w:val="000000"/>
          <w:kern w:val="2"/>
          <w:sz w:val="28"/>
          <w:szCs w:val="22"/>
          <w:lang w:val="en-US"/>
          <w14:ligatures w14:val="standardContextual"/>
        </w:rPr>
        <w:br/>
      </w:r>
      <w:r>
        <w:rPr>
          <w:color w:val="000000"/>
          <w:kern w:val="2"/>
          <w:sz w:val="28"/>
          <w:szCs w:val="22"/>
          <w:lang w:val="en-US"/>
          <w14:ligatures w14:val="standardContextual"/>
        </w:rPr>
        <w:t xml:space="preserve">    </w:t>
      </w:r>
      <w:r w:rsidR="006159AF" w:rsidRPr="006159AF">
        <w:rPr>
          <w:color w:val="000000"/>
          <w:kern w:val="2"/>
          <w:sz w:val="28"/>
          <w:szCs w:val="22"/>
          <w:lang w:val="en-US"/>
          <w14:ligatures w14:val="standardContextual"/>
        </w:rPr>
        <w:t>However, when implementing an ESG strategy, there are risks of encountering certain problems related to ESG business reporting. Companies must provide information about their ESG indicators, include it in financial reporting, so the absence of unified standards, lack of proper control over all levels of the carbon footprint can make it difficult to compare and analyze data.</w:t>
      </w:r>
    </w:p>
    <w:p w14:paraId="27528FA5" w14:textId="42C14C2E" w:rsidR="006159AF" w:rsidRDefault="006159AF" w:rsidP="006159AF">
      <w:pPr>
        <w:pStyle w:val="a3"/>
        <w:pBdr>
          <w:bottom w:val="single" w:sz="6" w:space="15" w:color="CCCCCC"/>
        </w:pBdr>
        <w:shd w:val="clear" w:color="auto" w:fill="FFFFFF"/>
        <w:spacing w:before="0" w:beforeAutospacing="0" w:after="0" w:afterAutospacing="0"/>
        <w:rPr>
          <w:color w:val="000000"/>
          <w:kern w:val="2"/>
          <w:sz w:val="28"/>
          <w:szCs w:val="22"/>
          <w:lang w:val="en-US"/>
          <w14:ligatures w14:val="standardContextual"/>
        </w:rPr>
      </w:pPr>
      <w:r w:rsidRPr="006159AF">
        <w:rPr>
          <w:color w:val="000000"/>
          <w:kern w:val="2"/>
          <w:sz w:val="28"/>
          <w:szCs w:val="22"/>
          <w:lang w:val="en-US"/>
          <w14:ligatures w14:val="standardContextual"/>
        </w:rPr>
        <w:br/>
      </w:r>
      <w:r w:rsidRPr="006159AF">
        <w:rPr>
          <w:color w:val="000000"/>
          <w:kern w:val="2"/>
          <w:sz w:val="28"/>
          <w:szCs w:val="22"/>
          <w:lang w:val="en-US"/>
          <w14:ligatures w14:val="standardContextual"/>
        </w:rPr>
        <w:br/>
      </w:r>
      <w:r w:rsidR="00F8208C" w:rsidRPr="00F8208C">
        <w:rPr>
          <w:noProof/>
          <w:sz w:val="28"/>
          <w:szCs w:val="28"/>
        </w:rPr>
        <w:drawing>
          <wp:inline distT="0" distB="0" distL="0" distR="0" wp14:anchorId="2E895EDA" wp14:editId="11BAB513">
            <wp:extent cx="5945505" cy="2221865"/>
            <wp:effectExtent l="0" t="0" r="0" b="6985"/>
            <wp:docPr id="621579039" name="Рисунок 1" descr="Изображение выглядит как снимок экрана, круг, диаграмма,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79039" name="Рисунок 1" descr="Изображение выглядит как снимок экрана, круг, диаграмма, текст&#10;&#10;Автоматически созданное описание"/>
                    <pic:cNvPicPr/>
                  </pic:nvPicPr>
                  <pic:blipFill>
                    <a:blip r:embed="rId5"/>
                    <a:stretch>
                      <a:fillRect/>
                    </a:stretch>
                  </pic:blipFill>
                  <pic:spPr>
                    <a:xfrm>
                      <a:off x="0" y="0"/>
                      <a:ext cx="5945505" cy="2221865"/>
                    </a:xfrm>
                    <a:prstGeom prst="rect">
                      <a:avLst/>
                    </a:prstGeom>
                  </pic:spPr>
                </pic:pic>
              </a:graphicData>
            </a:graphic>
          </wp:inline>
        </w:drawing>
      </w:r>
    </w:p>
    <w:p w14:paraId="41E67BB9" w14:textId="77777777" w:rsidR="00783472" w:rsidRDefault="006159AF" w:rsidP="00783472">
      <w:pPr>
        <w:pStyle w:val="a3"/>
        <w:pBdr>
          <w:bottom w:val="single" w:sz="6" w:space="15" w:color="CCCCCC"/>
        </w:pBdr>
        <w:shd w:val="clear" w:color="auto" w:fill="FFFFFF"/>
        <w:spacing w:before="0" w:beforeAutospacing="0" w:after="0" w:afterAutospacing="0"/>
        <w:jc w:val="center"/>
        <w:rPr>
          <w:color w:val="000000"/>
          <w:kern w:val="2"/>
          <w:sz w:val="28"/>
          <w:szCs w:val="22"/>
          <w:lang w:val="en-US"/>
          <w14:ligatures w14:val="standardContextual"/>
        </w:rPr>
      </w:pPr>
      <w:r w:rsidRPr="006159AF">
        <w:rPr>
          <w:color w:val="000000"/>
          <w:kern w:val="2"/>
          <w:sz w:val="28"/>
          <w:szCs w:val="22"/>
          <w:lang w:val="en-US"/>
          <w14:ligatures w14:val="standardContextual"/>
        </w:rPr>
        <w:t>Figure</w:t>
      </w:r>
      <w:r>
        <w:rPr>
          <w:color w:val="000000"/>
          <w:kern w:val="2"/>
          <w:sz w:val="28"/>
          <w:szCs w:val="22"/>
          <w:lang w:val="en-US"/>
          <w14:ligatures w14:val="standardContextual"/>
        </w:rPr>
        <w:t xml:space="preserve"> </w:t>
      </w:r>
      <w:r w:rsidRPr="006159AF">
        <w:rPr>
          <w:color w:val="000000"/>
          <w:kern w:val="2"/>
          <w:sz w:val="28"/>
          <w:szCs w:val="22"/>
          <w:lang w:val="en-US"/>
          <w14:ligatures w14:val="standardContextual"/>
        </w:rPr>
        <w:t>1. Carbon Footprint Levels</w:t>
      </w:r>
    </w:p>
    <w:p w14:paraId="60B06FFB" w14:textId="4DD6BB91" w:rsidR="006159AF" w:rsidRDefault="006159AF" w:rsidP="006159AF">
      <w:pPr>
        <w:pStyle w:val="a3"/>
        <w:pBdr>
          <w:bottom w:val="single" w:sz="6" w:space="15" w:color="CCCCCC"/>
        </w:pBdr>
        <w:shd w:val="clear" w:color="auto" w:fill="FFFFFF"/>
        <w:spacing w:before="0" w:beforeAutospacing="0" w:after="0" w:afterAutospacing="0"/>
        <w:rPr>
          <w:color w:val="000000"/>
          <w:kern w:val="2"/>
          <w:sz w:val="28"/>
          <w:szCs w:val="22"/>
          <w:lang w:val="en-US"/>
          <w14:ligatures w14:val="standardContextual"/>
        </w:rPr>
      </w:pPr>
      <w:r w:rsidRPr="006159AF">
        <w:rPr>
          <w:color w:val="000000"/>
          <w:kern w:val="2"/>
          <w:sz w:val="28"/>
          <w:szCs w:val="22"/>
          <w:lang w:val="en-US"/>
          <w14:ligatures w14:val="standardContextual"/>
        </w:rPr>
        <w:br/>
      </w:r>
      <w:r w:rsidR="00783472">
        <w:rPr>
          <w:color w:val="000000"/>
          <w:kern w:val="2"/>
          <w:sz w:val="28"/>
          <w:szCs w:val="22"/>
          <w:lang w:val="en-US"/>
          <w14:ligatures w14:val="standardContextual"/>
        </w:rPr>
        <w:t xml:space="preserve">    </w:t>
      </w:r>
      <w:r w:rsidRPr="006159AF">
        <w:rPr>
          <w:color w:val="000000"/>
          <w:kern w:val="2"/>
          <w:sz w:val="28"/>
          <w:szCs w:val="22"/>
          <w:lang w:val="en-US"/>
          <w14:ligatures w14:val="standardContextual"/>
        </w:rPr>
        <w:t xml:space="preserve">The highest indicator of the carbon footprint </w:t>
      </w:r>
      <w:proofErr w:type="gramStart"/>
      <w:r w:rsidRPr="006159AF">
        <w:rPr>
          <w:color w:val="000000"/>
          <w:kern w:val="2"/>
          <w:sz w:val="28"/>
          <w:szCs w:val="22"/>
          <w:lang w:val="en-US"/>
          <w14:ligatures w14:val="standardContextual"/>
        </w:rPr>
        <w:t>at the moment</w:t>
      </w:r>
      <w:proofErr w:type="gramEnd"/>
      <w:r w:rsidRPr="006159AF">
        <w:rPr>
          <w:color w:val="000000"/>
          <w:kern w:val="2"/>
          <w:sz w:val="28"/>
          <w:szCs w:val="22"/>
          <w:lang w:val="en-US"/>
          <w14:ligatures w14:val="standardContextual"/>
        </w:rPr>
        <w:t xml:space="preserve"> is the fuel and energy complex enterprises. </w:t>
      </w:r>
    </w:p>
    <w:tbl>
      <w:tblPr>
        <w:tblW w:w="10188" w:type="dxa"/>
        <w:jc w:val="center"/>
        <w:tblLook w:val="04A0" w:firstRow="1" w:lastRow="0" w:firstColumn="1" w:lastColumn="0" w:noHBand="0" w:noVBand="1"/>
      </w:tblPr>
      <w:tblGrid>
        <w:gridCol w:w="1656"/>
        <w:gridCol w:w="711"/>
        <w:gridCol w:w="711"/>
        <w:gridCol w:w="711"/>
        <w:gridCol w:w="711"/>
        <w:gridCol w:w="711"/>
        <w:gridCol w:w="711"/>
        <w:gridCol w:w="711"/>
        <w:gridCol w:w="711"/>
        <w:gridCol w:w="711"/>
        <w:gridCol w:w="711"/>
        <w:gridCol w:w="711"/>
        <w:gridCol w:w="711"/>
      </w:tblGrid>
      <w:tr w:rsidR="006159AF" w:rsidRPr="0031607E" w14:paraId="29F5F897" w14:textId="77777777" w:rsidTr="00941D52">
        <w:trPr>
          <w:trHeight w:val="646"/>
          <w:jc w:val="center"/>
        </w:trPr>
        <w:tc>
          <w:tcPr>
            <w:tcW w:w="1656" w:type="dxa"/>
            <w:tcBorders>
              <w:top w:val="nil"/>
              <w:left w:val="single" w:sz="4" w:space="0" w:color="auto"/>
              <w:bottom w:val="single" w:sz="4" w:space="0" w:color="auto"/>
              <w:right w:val="single" w:sz="4" w:space="0" w:color="auto"/>
            </w:tcBorders>
            <w:shd w:val="clear" w:color="99CCFF" w:fill="99CCFF"/>
            <w:vAlign w:val="bottom"/>
            <w:hideMark/>
          </w:tcPr>
          <w:p w14:paraId="61995936" w14:textId="77777777" w:rsidR="006159AF" w:rsidRPr="00783472" w:rsidRDefault="006159AF" w:rsidP="00941D52">
            <w:pPr>
              <w:jc w:val="center"/>
              <w:rPr>
                <w:sz w:val="18"/>
                <w:szCs w:val="18"/>
                <w:lang w:val="en-US"/>
              </w:rPr>
            </w:pPr>
          </w:p>
        </w:tc>
        <w:tc>
          <w:tcPr>
            <w:tcW w:w="711" w:type="dxa"/>
            <w:tcBorders>
              <w:top w:val="nil"/>
              <w:left w:val="nil"/>
              <w:bottom w:val="single" w:sz="4" w:space="0" w:color="auto"/>
              <w:right w:val="single" w:sz="4" w:space="0" w:color="auto"/>
            </w:tcBorders>
            <w:shd w:val="clear" w:color="99CCFF" w:fill="99CCFF"/>
            <w:vAlign w:val="center"/>
            <w:hideMark/>
          </w:tcPr>
          <w:p w14:paraId="5300487A" w14:textId="77777777" w:rsidR="006159AF" w:rsidRPr="0031607E" w:rsidRDefault="006159AF" w:rsidP="00941D52">
            <w:pPr>
              <w:jc w:val="center"/>
              <w:rPr>
                <w:sz w:val="18"/>
                <w:szCs w:val="18"/>
              </w:rPr>
            </w:pPr>
            <w:r w:rsidRPr="0031607E">
              <w:rPr>
                <w:sz w:val="18"/>
                <w:szCs w:val="18"/>
              </w:rPr>
              <w:t>2005</w:t>
            </w:r>
          </w:p>
        </w:tc>
        <w:tc>
          <w:tcPr>
            <w:tcW w:w="711" w:type="dxa"/>
            <w:tcBorders>
              <w:top w:val="nil"/>
              <w:left w:val="nil"/>
              <w:bottom w:val="single" w:sz="4" w:space="0" w:color="auto"/>
              <w:right w:val="single" w:sz="4" w:space="0" w:color="auto"/>
            </w:tcBorders>
            <w:shd w:val="clear" w:color="99CCFF" w:fill="99CCFF"/>
            <w:vAlign w:val="center"/>
            <w:hideMark/>
          </w:tcPr>
          <w:p w14:paraId="4CE964AF" w14:textId="77777777" w:rsidR="006159AF" w:rsidRPr="0031607E" w:rsidRDefault="006159AF" w:rsidP="00941D52">
            <w:pPr>
              <w:jc w:val="center"/>
              <w:rPr>
                <w:sz w:val="18"/>
                <w:szCs w:val="18"/>
              </w:rPr>
            </w:pPr>
            <w:r w:rsidRPr="0031607E">
              <w:rPr>
                <w:sz w:val="18"/>
                <w:szCs w:val="18"/>
              </w:rPr>
              <w:t>2010</w:t>
            </w:r>
          </w:p>
        </w:tc>
        <w:tc>
          <w:tcPr>
            <w:tcW w:w="711" w:type="dxa"/>
            <w:tcBorders>
              <w:top w:val="nil"/>
              <w:left w:val="nil"/>
              <w:bottom w:val="single" w:sz="4" w:space="0" w:color="auto"/>
              <w:right w:val="single" w:sz="4" w:space="0" w:color="auto"/>
            </w:tcBorders>
            <w:shd w:val="clear" w:color="99CCFF" w:fill="99CCFF"/>
            <w:vAlign w:val="center"/>
            <w:hideMark/>
          </w:tcPr>
          <w:p w14:paraId="30C86AC9" w14:textId="77777777" w:rsidR="006159AF" w:rsidRPr="0031607E" w:rsidRDefault="006159AF" w:rsidP="00941D52">
            <w:pPr>
              <w:jc w:val="center"/>
              <w:rPr>
                <w:sz w:val="18"/>
                <w:szCs w:val="18"/>
              </w:rPr>
            </w:pPr>
            <w:r w:rsidRPr="0031607E">
              <w:rPr>
                <w:sz w:val="18"/>
                <w:szCs w:val="18"/>
              </w:rPr>
              <w:t>2012</w:t>
            </w:r>
          </w:p>
        </w:tc>
        <w:tc>
          <w:tcPr>
            <w:tcW w:w="711" w:type="dxa"/>
            <w:tcBorders>
              <w:top w:val="nil"/>
              <w:left w:val="nil"/>
              <w:bottom w:val="single" w:sz="4" w:space="0" w:color="auto"/>
              <w:right w:val="single" w:sz="4" w:space="0" w:color="auto"/>
            </w:tcBorders>
            <w:shd w:val="clear" w:color="99CCFF" w:fill="99CCFF"/>
            <w:vAlign w:val="center"/>
            <w:hideMark/>
          </w:tcPr>
          <w:p w14:paraId="13B5795D" w14:textId="77777777" w:rsidR="006159AF" w:rsidRPr="0031607E" w:rsidRDefault="006159AF" w:rsidP="00941D52">
            <w:pPr>
              <w:jc w:val="center"/>
              <w:rPr>
                <w:sz w:val="18"/>
                <w:szCs w:val="18"/>
              </w:rPr>
            </w:pPr>
            <w:r w:rsidRPr="0031607E">
              <w:rPr>
                <w:sz w:val="18"/>
                <w:szCs w:val="18"/>
              </w:rPr>
              <w:t>2013</w:t>
            </w:r>
          </w:p>
        </w:tc>
        <w:tc>
          <w:tcPr>
            <w:tcW w:w="711" w:type="dxa"/>
            <w:tcBorders>
              <w:top w:val="nil"/>
              <w:left w:val="nil"/>
              <w:bottom w:val="single" w:sz="4" w:space="0" w:color="auto"/>
              <w:right w:val="single" w:sz="4" w:space="0" w:color="auto"/>
            </w:tcBorders>
            <w:shd w:val="clear" w:color="99CCFF" w:fill="99CCFF"/>
            <w:vAlign w:val="center"/>
            <w:hideMark/>
          </w:tcPr>
          <w:p w14:paraId="33FD9E2E" w14:textId="77777777" w:rsidR="006159AF" w:rsidRPr="0031607E" w:rsidRDefault="006159AF" w:rsidP="00941D52">
            <w:pPr>
              <w:jc w:val="center"/>
              <w:rPr>
                <w:sz w:val="18"/>
                <w:szCs w:val="18"/>
              </w:rPr>
            </w:pPr>
            <w:r w:rsidRPr="0031607E">
              <w:rPr>
                <w:sz w:val="18"/>
                <w:szCs w:val="18"/>
              </w:rPr>
              <w:t>2014</w:t>
            </w:r>
          </w:p>
        </w:tc>
        <w:tc>
          <w:tcPr>
            <w:tcW w:w="711" w:type="dxa"/>
            <w:tcBorders>
              <w:top w:val="nil"/>
              <w:left w:val="nil"/>
              <w:bottom w:val="single" w:sz="4" w:space="0" w:color="auto"/>
              <w:right w:val="single" w:sz="4" w:space="0" w:color="auto"/>
            </w:tcBorders>
            <w:shd w:val="clear" w:color="99CCFF" w:fill="99CCFF"/>
            <w:vAlign w:val="center"/>
            <w:hideMark/>
          </w:tcPr>
          <w:p w14:paraId="23AA29CC" w14:textId="77777777" w:rsidR="006159AF" w:rsidRPr="0031607E" w:rsidRDefault="006159AF" w:rsidP="00941D52">
            <w:pPr>
              <w:jc w:val="center"/>
              <w:rPr>
                <w:sz w:val="18"/>
                <w:szCs w:val="18"/>
              </w:rPr>
            </w:pPr>
            <w:r w:rsidRPr="0031607E">
              <w:rPr>
                <w:sz w:val="18"/>
                <w:szCs w:val="18"/>
              </w:rPr>
              <w:t>2015</w:t>
            </w:r>
          </w:p>
        </w:tc>
        <w:tc>
          <w:tcPr>
            <w:tcW w:w="711" w:type="dxa"/>
            <w:tcBorders>
              <w:top w:val="nil"/>
              <w:left w:val="nil"/>
              <w:bottom w:val="single" w:sz="4" w:space="0" w:color="auto"/>
              <w:right w:val="single" w:sz="4" w:space="0" w:color="auto"/>
            </w:tcBorders>
            <w:shd w:val="clear" w:color="99CCFF" w:fill="99CCFF"/>
            <w:vAlign w:val="center"/>
            <w:hideMark/>
          </w:tcPr>
          <w:p w14:paraId="52123DD7" w14:textId="77777777" w:rsidR="006159AF" w:rsidRPr="0031607E" w:rsidRDefault="006159AF" w:rsidP="00941D52">
            <w:pPr>
              <w:jc w:val="center"/>
              <w:rPr>
                <w:sz w:val="18"/>
                <w:szCs w:val="18"/>
              </w:rPr>
            </w:pPr>
            <w:r w:rsidRPr="0031607E">
              <w:rPr>
                <w:sz w:val="18"/>
                <w:szCs w:val="18"/>
              </w:rPr>
              <w:t>2016</w:t>
            </w:r>
          </w:p>
        </w:tc>
        <w:tc>
          <w:tcPr>
            <w:tcW w:w="711" w:type="dxa"/>
            <w:tcBorders>
              <w:top w:val="nil"/>
              <w:left w:val="nil"/>
              <w:bottom w:val="single" w:sz="4" w:space="0" w:color="auto"/>
              <w:right w:val="single" w:sz="4" w:space="0" w:color="auto"/>
            </w:tcBorders>
            <w:shd w:val="clear" w:color="99CCFF" w:fill="99CCFF"/>
            <w:vAlign w:val="center"/>
            <w:hideMark/>
          </w:tcPr>
          <w:p w14:paraId="20DB4CEE" w14:textId="77777777" w:rsidR="006159AF" w:rsidRPr="0031607E" w:rsidRDefault="006159AF" w:rsidP="00941D52">
            <w:pPr>
              <w:jc w:val="center"/>
              <w:rPr>
                <w:sz w:val="18"/>
                <w:szCs w:val="18"/>
              </w:rPr>
            </w:pPr>
            <w:r w:rsidRPr="0031607E">
              <w:rPr>
                <w:sz w:val="18"/>
                <w:szCs w:val="18"/>
              </w:rPr>
              <w:t>2017</w:t>
            </w:r>
          </w:p>
        </w:tc>
        <w:tc>
          <w:tcPr>
            <w:tcW w:w="711" w:type="dxa"/>
            <w:tcBorders>
              <w:top w:val="nil"/>
              <w:left w:val="nil"/>
              <w:bottom w:val="single" w:sz="4" w:space="0" w:color="auto"/>
              <w:right w:val="single" w:sz="4" w:space="0" w:color="auto"/>
            </w:tcBorders>
            <w:shd w:val="clear" w:color="99CCFF" w:fill="99CCFF"/>
            <w:vAlign w:val="center"/>
            <w:hideMark/>
          </w:tcPr>
          <w:p w14:paraId="1823088D" w14:textId="77777777" w:rsidR="006159AF" w:rsidRPr="0031607E" w:rsidRDefault="006159AF" w:rsidP="00941D52">
            <w:pPr>
              <w:jc w:val="center"/>
              <w:rPr>
                <w:sz w:val="18"/>
                <w:szCs w:val="18"/>
              </w:rPr>
            </w:pPr>
            <w:r w:rsidRPr="0031607E">
              <w:rPr>
                <w:sz w:val="18"/>
                <w:szCs w:val="18"/>
              </w:rPr>
              <w:t>2018</w:t>
            </w:r>
          </w:p>
        </w:tc>
        <w:tc>
          <w:tcPr>
            <w:tcW w:w="711" w:type="dxa"/>
            <w:tcBorders>
              <w:top w:val="nil"/>
              <w:left w:val="nil"/>
              <w:bottom w:val="single" w:sz="4" w:space="0" w:color="auto"/>
              <w:right w:val="single" w:sz="4" w:space="0" w:color="auto"/>
            </w:tcBorders>
            <w:shd w:val="clear" w:color="99CCFF" w:fill="99CCFF"/>
            <w:vAlign w:val="center"/>
            <w:hideMark/>
          </w:tcPr>
          <w:p w14:paraId="130BC4A5" w14:textId="77777777" w:rsidR="006159AF" w:rsidRPr="0031607E" w:rsidRDefault="006159AF" w:rsidP="00941D52">
            <w:pPr>
              <w:jc w:val="center"/>
              <w:rPr>
                <w:sz w:val="18"/>
                <w:szCs w:val="18"/>
              </w:rPr>
            </w:pPr>
            <w:r w:rsidRPr="0031607E">
              <w:rPr>
                <w:sz w:val="18"/>
                <w:szCs w:val="18"/>
              </w:rPr>
              <w:t>2019</w:t>
            </w:r>
          </w:p>
        </w:tc>
        <w:tc>
          <w:tcPr>
            <w:tcW w:w="711" w:type="dxa"/>
            <w:tcBorders>
              <w:top w:val="nil"/>
              <w:left w:val="nil"/>
              <w:bottom w:val="single" w:sz="4" w:space="0" w:color="auto"/>
              <w:right w:val="single" w:sz="4" w:space="0" w:color="auto"/>
            </w:tcBorders>
            <w:shd w:val="clear" w:color="99CCFF" w:fill="99CCFF"/>
            <w:vAlign w:val="center"/>
            <w:hideMark/>
          </w:tcPr>
          <w:p w14:paraId="4583A2FE" w14:textId="77777777" w:rsidR="006159AF" w:rsidRPr="0031607E" w:rsidRDefault="006159AF" w:rsidP="00941D52">
            <w:pPr>
              <w:jc w:val="center"/>
              <w:rPr>
                <w:sz w:val="18"/>
                <w:szCs w:val="18"/>
              </w:rPr>
            </w:pPr>
            <w:r w:rsidRPr="0031607E">
              <w:rPr>
                <w:sz w:val="18"/>
                <w:szCs w:val="18"/>
              </w:rPr>
              <w:t>2020</w:t>
            </w:r>
          </w:p>
        </w:tc>
        <w:tc>
          <w:tcPr>
            <w:tcW w:w="711" w:type="dxa"/>
            <w:tcBorders>
              <w:top w:val="nil"/>
              <w:left w:val="nil"/>
              <w:bottom w:val="single" w:sz="4" w:space="0" w:color="auto"/>
              <w:right w:val="single" w:sz="4" w:space="0" w:color="auto"/>
            </w:tcBorders>
            <w:shd w:val="clear" w:color="99CCFF" w:fill="99CCFF"/>
            <w:vAlign w:val="center"/>
            <w:hideMark/>
          </w:tcPr>
          <w:p w14:paraId="6610B4D3" w14:textId="77777777" w:rsidR="006159AF" w:rsidRPr="0031607E" w:rsidRDefault="006159AF" w:rsidP="00941D52">
            <w:pPr>
              <w:jc w:val="center"/>
              <w:rPr>
                <w:sz w:val="18"/>
                <w:szCs w:val="18"/>
              </w:rPr>
            </w:pPr>
            <w:r w:rsidRPr="0031607E">
              <w:rPr>
                <w:sz w:val="18"/>
                <w:szCs w:val="18"/>
              </w:rPr>
              <w:t>2021</w:t>
            </w:r>
          </w:p>
        </w:tc>
      </w:tr>
      <w:tr w:rsidR="006159AF" w:rsidRPr="0031607E" w14:paraId="6C090908" w14:textId="77777777" w:rsidTr="00941D52">
        <w:trPr>
          <w:trHeight w:val="491"/>
          <w:jc w:val="center"/>
        </w:trPr>
        <w:tc>
          <w:tcPr>
            <w:tcW w:w="1656" w:type="dxa"/>
            <w:tcBorders>
              <w:top w:val="nil"/>
              <w:left w:val="single" w:sz="4" w:space="0" w:color="auto"/>
              <w:bottom w:val="single" w:sz="4" w:space="0" w:color="auto"/>
              <w:right w:val="single" w:sz="4" w:space="0" w:color="auto"/>
            </w:tcBorders>
            <w:shd w:val="clear" w:color="auto" w:fill="auto"/>
            <w:vAlign w:val="bottom"/>
            <w:hideMark/>
          </w:tcPr>
          <w:p w14:paraId="5C4E8EF2" w14:textId="6279ABCA" w:rsidR="006159AF" w:rsidRPr="0031607E" w:rsidRDefault="00F8208C" w:rsidP="00941D52">
            <w:pPr>
              <w:jc w:val="center"/>
              <w:rPr>
                <w:sz w:val="18"/>
                <w:szCs w:val="18"/>
              </w:rPr>
            </w:pPr>
            <w:r w:rsidRPr="00F8208C">
              <w:rPr>
                <w:sz w:val="18"/>
                <w:szCs w:val="18"/>
              </w:rPr>
              <w:t>Energy Industry</w:t>
            </w:r>
          </w:p>
        </w:tc>
        <w:tc>
          <w:tcPr>
            <w:tcW w:w="711" w:type="dxa"/>
            <w:tcBorders>
              <w:top w:val="nil"/>
              <w:left w:val="nil"/>
              <w:bottom w:val="single" w:sz="4" w:space="0" w:color="auto"/>
              <w:right w:val="single" w:sz="4" w:space="0" w:color="auto"/>
            </w:tcBorders>
            <w:shd w:val="clear" w:color="auto" w:fill="auto"/>
            <w:noWrap/>
            <w:vAlign w:val="bottom"/>
            <w:hideMark/>
          </w:tcPr>
          <w:p w14:paraId="4CCECECD" w14:textId="77777777" w:rsidR="006159AF" w:rsidRPr="0031607E" w:rsidRDefault="006159AF" w:rsidP="00941D52">
            <w:pPr>
              <w:jc w:val="center"/>
              <w:rPr>
                <w:sz w:val="18"/>
                <w:szCs w:val="18"/>
              </w:rPr>
            </w:pPr>
            <w:r w:rsidRPr="0031607E">
              <w:rPr>
                <w:sz w:val="18"/>
                <w:szCs w:val="18"/>
              </w:rPr>
              <w:t>1590,2</w:t>
            </w:r>
          </w:p>
        </w:tc>
        <w:tc>
          <w:tcPr>
            <w:tcW w:w="711" w:type="dxa"/>
            <w:tcBorders>
              <w:top w:val="nil"/>
              <w:left w:val="nil"/>
              <w:bottom w:val="single" w:sz="4" w:space="0" w:color="auto"/>
              <w:right w:val="single" w:sz="4" w:space="0" w:color="auto"/>
            </w:tcBorders>
            <w:shd w:val="clear" w:color="auto" w:fill="auto"/>
            <w:noWrap/>
            <w:vAlign w:val="bottom"/>
            <w:hideMark/>
          </w:tcPr>
          <w:p w14:paraId="34E07619" w14:textId="77777777" w:rsidR="006159AF" w:rsidRPr="0031607E" w:rsidRDefault="006159AF" w:rsidP="00941D52">
            <w:pPr>
              <w:jc w:val="center"/>
              <w:rPr>
                <w:sz w:val="18"/>
                <w:szCs w:val="18"/>
              </w:rPr>
            </w:pPr>
            <w:r w:rsidRPr="0031607E">
              <w:rPr>
                <w:sz w:val="18"/>
                <w:szCs w:val="18"/>
              </w:rPr>
              <w:t>1639,3</w:t>
            </w:r>
          </w:p>
        </w:tc>
        <w:tc>
          <w:tcPr>
            <w:tcW w:w="711" w:type="dxa"/>
            <w:tcBorders>
              <w:top w:val="nil"/>
              <w:left w:val="nil"/>
              <w:bottom w:val="single" w:sz="4" w:space="0" w:color="auto"/>
              <w:right w:val="single" w:sz="4" w:space="0" w:color="auto"/>
            </w:tcBorders>
            <w:shd w:val="clear" w:color="auto" w:fill="auto"/>
            <w:noWrap/>
            <w:vAlign w:val="bottom"/>
            <w:hideMark/>
          </w:tcPr>
          <w:p w14:paraId="221F7EF1" w14:textId="77777777" w:rsidR="006159AF" w:rsidRPr="0031607E" w:rsidRDefault="006159AF" w:rsidP="00941D52">
            <w:pPr>
              <w:jc w:val="center"/>
              <w:rPr>
                <w:sz w:val="18"/>
                <w:szCs w:val="18"/>
              </w:rPr>
            </w:pPr>
            <w:r w:rsidRPr="0031607E">
              <w:rPr>
                <w:sz w:val="18"/>
                <w:szCs w:val="18"/>
              </w:rPr>
              <w:t>1694,5</w:t>
            </w:r>
          </w:p>
        </w:tc>
        <w:tc>
          <w:tcPr>
            <w:tcW w:w="711" w:type="dxa"/>
            <w:tcBorders>
              <w:top w:val="nil"/>
              <w:left w:val="nil"/>
              <w:bottom w:val="single" w:sz="4" w:space="0" w:color="auto"/>
              <w:right w:val="single" w:sz="4" w:space="0" w:color="auto"/>
            </w:tcBorders>
            <w:shd w:val="clear" w:color="auto" w:fill="auto"/>
            <w:noWrap/>
            <w:vAlign w:val="bottom"/>
            <w:hideMark/>
          </w:tcPr>
          <w:p w14:paraId="2D559F92" w14:textId="77777777" w:rsidR="006159AF" w:rsidRPr="0031607E" w:rsidRDefault="006159AF" w:rsidP="00941D52">
            <w:pPr>
              <w:jc w:val="center"/>
              <w:rPr>
                <w:sz w:val="18"/>
                <w:szCs w:val="18"/>
              </w:rPr>
            </w:pPr>
            <w:r w:rsidRPr="0031607E">
              <w:rPr>
                <w:sz w:val="18"/>
                <w:szCs w:val="18"/>
              </w:rPr>
              <w:t>1625,2</w:t>
            </w:r>
          </w:p>
        </w:tc>
        <w:tc>
          <w:tcPr>
            <w:tcW w:w="711" w:type="dxa"/>
            <w:tcBorders>
              <w:top w:val="nil"/>
              <w:left w:val="nil"/>
              <w:bottom w:val="single" w:sz="4" w:space="0" w:color="auto"/>
              <w:right w:val="single" w:sz="4" w:space="0" w:color="auto"/>
            </w:tcBorders>
            <w:shd w:val="clear" w:color="auto" w:fill="auto"/>
            <w:noWrap/>
            <w:vAlign w:val="bottom"/>
            <w:hideMark/>
          </w:tcPr>
          <w:p w14:paraId="48D76A79" w14:textId="77777777" w:rsidR="006159AF" w:rsidRPr="0031607E" w:rsidRDefault="006159AF" w:rsidP="00941D52">
            <w:pPr>
              <w:jc w:val="center"/>
              <w:rPr>
                <w:sz w:val="18"/>
                <w:szCs w:val="18"/>
              </w:rPr>
            </w:pPr>
            <w:r w:rsidRPr="0031607E">
              <w:rPr>
                <w:sz w:val="18"/>
                <w:szCs w:val="18"/>
              </w:rPr>
              <w:t>1617,1</w:t>
            </w:r>
          </w:p>
        </w:tc>
        <w:tc>
          <w:tcPr>
            <w:tcW w:w="711" w:type="dxa"/>
            <w:tcBorders>
              <w:top w:val="nil"/>
              <w:left w:val="nil"/>
              <w:bottom w:val="single" w:sz="4" w:space="0" w:color="auto"/>
              <w:right w:val="single" w:sz="4" w:space="0" w:color="auto"/>
            </w:tcBorders>
            <w:shd w:val="clear" w:color="auto" w:fill="auto"/>
            <w:noWrap/>
            <w:vAlign w:val="bottom"/>
            <w:hideMark/>
          </w:tcPr>
          <w:p w14:paraId="0B1C73E9" w14:textId="77777777" w:rsidR="006159AF" w:rsidRPr="0031607E" w:rsidRDefault="006159AF" w:rsidP="00941D52">
            <w:pPr>
              <w:jc w:val="center"/>
              <w:rPr>
                <w:sz w:val="18"/>
                <w:szCs w:val="18"/>
              </w:rPr>
            </w:pPr>
            <w:r w:rsidRPr="0031607E">
              <w:rPr>
                <w:sz w:val="18"/>
                <w:szCs w:val="18"/>
              </w:rPr>
              <w:t>1611,3</w:t>
            </w:r>
          </w:p>
        </w:tc>
        <w:tc>
          <w:tcPr>
            <w:tcW w:w="711" w:type="dxa"/>
            <w:tcBorders>
              <w:top w:val="nil"/>
              <w:left w:val="nil"/>
              <w:bottom w:val="single" w:sz="4" w:space="0" w:color="auto"/>
              <w:right w:val="single" w:sz="4" w:space="0" w:color="auto"/>
            </w:tcBorders>
            <w:shd w:val="clear" w:color="auto" w:fill="auto"/>
            <w:noWrap/>
            <w:vAlign w:val="bottom"/>
            <w:hideMark/>
          </w:tcPr>
          <w:p w14:paraId="5D975DDA" w14:textId="77777777" w:rsidR="006159AF" w:rsidRPr="0031607E" w:rsidRDefault="006159AF" w:rsidP="00941D52">
            <w:pPr>
              <w:jc w:val="center"/>
              <w:rPr>
                <w:sz w:val="18"/>
                <w:szCs w:val="18"/>
              </w:rPr>
            </w:pPr>
            <w:r w:rsidRPr="0031607E">
              <w:rPr>
                <w:sz w:val="18"/>
                <w:szCs w:val="18"/>
              </w:rPr>
              <w:t>1606,1</w:t>
            </w:r>
          </w:p>
        </w:tc>
        <w:tc>
          <w:tcPr>
            <w:tcW w:w="711" w:type="dxa"/>
            <w:tcBorders>
              <w:top w:val="nil"/>
              <w:left w:val="nil"/>
              <w:bottom w:val="single" w:sz="4" w:space="0" w:color="auto"/>
              <w:right w:val="single" w:sz="4" w:space="0" w:color="auto"/>
            </w:tcBorders>
            <w:shd w:val="clear" w:color="auto" w:fill="auto"/>
            <w:noWrap/>
            <w:vAlign w:val="bottom"/>
            <w:hideMark/>
          </w:tcPr>
          <w:p w14:paraId="12F8547B" w14:textId="77777777" w:rsidR="006159AF" w:rsidRPr="0031607E" w:rsidRDefault="006159AF" w:rsidP="00941D52">
            <w:pPr>
              <w:jc w:val="center"/>
              <w:rPr>
                <w:sz w:val="18"/>
                <w:szCs w:val="18"/>
              </w:rPr>
            </w:pPr>
            <w:r w:rsidRPr="0031607E">
              <w:rPr>
                <w:sz w:val="18"/>
                <w:szCs w:val="18"/>
              </w:rPr>
              <w:t>1637,0</w:t>
            </w:r>
          </w:p>
        </w:tc>
        <w:tc>
          <w:tcPr>
            <w:tcW w:w="711" w:type="dxa"/>
            <w:tcBorders>
              <w:top w:val="nil"/>
              <w:left w:val="nil"/>
              <w:bottom w:val="single" w:sz="4" w:space="0" w:color="auto"/>
              <w:right w:val="single" w:sz="4" w:space="0" w:color="auto"/>
            </w:tcBorders>
            <w:shd w:val="clear" w:color="auto" w:fill="auto"/>
            <w:noWrap/>
            <w:vAlign w:val="bottom"/>
            <w:hideMark/>
          </w:tcPr>
          <w:p w14:paraId="5BCDB5D1" w14:textId="77777777" w:rsidR="006159AF" w:rsidRPr="0031607E" w:rsidRDefault="006159AF" w:rsidP="00941D52">
            <w:pPr>
              <w:jc w:val="center"/>
              <w:rPr>
                <w:sz w:val="18"/>
                <w:szCs w:val="18"/>
              </w:rPr>
            </w:pPr>
            <w:r w:rsidRPr="0031607E">
              <w:rPr>
                <w:sz w:val="18"/>
                <w:szCs w:val="18"/>
              </w:rPr>
              <w:t>1688,7</w:t>
            </w:r>
          </w:p>
        </w:tc>
        <w:tc>
          <w:tcPr>
            <w:tcW w:w="711" w:type="dxa"/>
            <w:tcBorders>
              <w:top w:val="nil"/>
              <w:left w:val="nil"/>
              <w:bottom w:val="single" w:sz="4" w:space="0" w:color="auto"/>
              <w:right w:val="single" w:sz="4" w:space="0" w:color="auto"/>
            </w:tcBorders>
            <w:shd w:val="clear" w:color="auto" w:fill="auto"/>
            <w:noWrap/>
            <w:vAlign w:val="bottom"/>
            <w:hideMark/>
          </w:tcPr>
          <w:p w14:paraId="7DC50989" w14:textId="77777777" w:rsidR="006159AF" w:rsidRPr="0031607E" w:rsidRDefault="006159AF" w:rsidP="00941D52">
            <w:pPr>
              <w:jc w:val="center"/>
              <w:rPr>
                <w:sz w:val="18"/>
                <w:szCs w:val="18"/>
              </w:rPr>
            </w:pPr>
            <w:r w:rsidRPr="0031607E">
              <w:rPr>
                <w:sz w:val="18"/>
                <w:szCs w:val="18"/>
              </w:rPr>
              <w:t>1682,3</w:t>
            </w:r>
          </w:p>
        </w:tc>
        <w:tc>
          <w:tcPr>
            <w:tcW w:w="711" w:type="dxa"/>
            <w:tcBorders>
              <w:top w:val="nil"/>
              <w:left w:val="nil"/>
              <w:bottom w:val="single" w:sz="4" w:space="0" w:color="auto"/>
              <w:right w:val="single" w:sz="4" w:space="0" w:color="auto"/>
            </w:tcBorders>
            <w:shd w:val="clear" w:color="auto" w:fill="auto"/>
            <w:noWrap/>
            <w:vAlign w:val="bottom"/>
            <w:hideMark/>
          </w:tcPr>
          <w:p w14:paraId="0B0BBB38" w14:textId="77777777" w:rsidR="006159AF" w:rsidRPr="0031607E" w:rsidRDefault="006159AF" w:rsidP="00941D52">
            <w:pPr>
              <w:jc w:val="center"/>
              <w:rPr>
                <w:sz w:val="18"/>
                <w:szCs w:val="18"/>
              </w:rPr>
            </w:pPr>
            <w:r w:rsidRPr="0031607E">
              <w:rPr>
                <w:sz w:val="18"/>
                <w:szCs w:val="18"/>
              </w:rPr>
              <w:t>1594,1</w:t>
            </w:r>
          </w:p>
        </w:tc>
        <w:tc>
          <w:tcPr>
            <w:tcW w:w="711" w:type="dxa"/>
            <w:tcBorders>
              <w:top w:val="nil"/>
              <w:left w:val="nil"/>
              <w:bottom w:val="single" w:sz="4" w:space="0" w:color="auto"/>
              <w:right w:val="single" w:sz="4" w:space="0" w:color="auto"/>
            </w:tcBorders>
            <w:shd w:val="clear" w:color="auto" w:fill="auto"/>
            <w:noWrap/>
            <w:vAlign w:val="bottom"/>
            <w:hideMark/>
          </w:tcPr>
          <w:p w14:paraId="5C19FCED" w14:textId="77777777" w:rsidR="006159AF" w:rsidRPr="0031607E" w:rsidRDefault="006159AF" w:rsidP="00941D52">
            <w:pPr>
              <w:jc w:val="center"/>
              <w:rPr>
                <w:sz w:val="18"/>
                <w:szCs w:val="18"/>
              </w:rPr>
            </w:pPr>
            <w:r w:rsidRPr="0031607E">
              <w:rPr>
                <w:sz w:val="18"/>
                <w:szCs w:val="18"/>
              </w:rPr>
              <w:t>1679,1</w:t>
            </w:r>
          </w:p>
        </w:tc>
      </w:tr>
      <w:tr w:rsidR="006159AF" w:rsidRPr="0031607E" w14:paraId="214D40CC" w14:textId="77777777" w:rsidTr="00941D52">
        <w:trPr>
          <w:trHeight w:val="435"/>
          <w:jc w:val="center"/>
        </w:trPr>
        <w:tc>
          <w:tcPr>
            <w:tcW w:w="1656" w:type="dxa"/>
            <w:tcBorders>
              <w:top w:val="nil"/>
              <w:left w:val="single" w:sz="4" w:space="0" w:color="auto"/>
              <w:bottom w:val="single" w:sz="4" w:space="0" w:color="auto"/>
              <w:right w:val="single" w:sz="4" w:space="0" w:color="auto"/>
            </w:tcBorders>
            <w:shd w:val="clear" w:color="auto" w:fill="auto"/>
            <w:vAlign w:val="bottom"/>
            <w:hideMark/>
          </w:tcPr>
          <w:p w14:paraId="31AC5831" w14:textId="1E07939D" w:rsidR="006159AF" w:rsidRPr="0031607E" w:rsidRDefault="00F8208C" w:rsidP="00941D52">
            <w:pPr>
              <w:jc w:val="center"/>
              <w:rPr>
                <w:sz w:val="18"/>
                <w:szCs w:val="18"/>
              </w:rPr>
            </w:pPr>
            <w:r w:rsidRPr="00F8208C">
              <w:rPr>
                <w:sz w:val="18"/>
                <w:szCs w:val="18"/>
              </w:rPr>
              <w:t xml:space="preserve">Industrial </w:t>
            </w:r>
            <w:proofErr w:type="spellStart"/>
            <w:r w:rsidRPr="00F8208C">
              <w:rPr>
                <w:sz w:val="18"/>
                <w:szCs w:val="18"/>
              </w:rPr>
              <w:t>Processes</w:t>
            </w:r>
            <w:proofErr w:type="spellEnd"/>
          </w:p>
        </w:tc>
        <w:tc>
          <w:tcPr>
            <w:tcW w:w="711" w:type="dxa"/>
            <w:tcBorders>
              <w:top w:val="nil"/>
              <w:left w:val="nil"/>
              <w:bottom w:val="single" w:sz="4" w:space="0" w:color="auto"/>
              <w:right w:val="single" w:sz="4" w:space="0" w:color="auto"/>
            </w:tcBorders>
            <w:shd w:val="clear" w:color="auto" w:fill="auto"/>
            <w:noWrap/>
            <w:vAlign w:val="bottom"/>
            <w:hideMark/>
          </w:tcPr>
          <w:p w14:paraId="3BC01303" w14:textId="77777777" w:rsidR="006159AF" w:rsidRPr="0031607E" w:rsidRDefault="006159AF" w:rsidP="00941D52">
            <w:pPr>
              <w:jc w:val="center"/>
              <w:rPr>
                <w:sz w:val="18"/>
                <w:szCs w:val="18"/>
              </w:rPr>
            </w:pPr>
            <w:r w:rsidRPr="0031607E">
              <w:rPr>
                <w:sz w:val="18"/>
                <w:szCs w:val="18"/>
              </w:rPr>
              <w:t>212,4</w:t>
            </w:r>
          </w:p>
        </w:tc>
        <w:tc>
          <w:tcPr>
            <w:tcW w:w="711" w:type="dxa"/>
            <w:tcBorders>
              <w:top w:val="nil"/>
              <w:left w:val="nil"/>
              <w:bottom w:val="single" w:sz="4" w:space="0" w:color="auto"/>
              <w:right w:val="single" w:sz="4" w:space="0" w:color="auto"/>
            </w:tcBorders>
            <w:shd w:val="clear" w:color="auto" w:fill="auto"/>
            <w:noWrap/>
            <w:vAlign w:val="bottom"/>
            <w:hideMark/>
          </w:tcPr>
          <w:p w14:paraId="52A6314E" w14:textId="77777777" w:rsidR="006159AF" w:rsidRPr="0031607E" w:rsidRDefault="006159AF" w:rsidP="00941D52">
            <w:pPr>
              <w:jc w:val="center"/>
              <w:rPr>
                <w:sz w:val="18"/>
                <w:szCs w:val="18"/>
              </w:rPr>
            </w:pPr>
            <w:r w:rsidRPr="0031607E">
              <w:rPr>
                <w:sz w:val="18"/>
                <w:szCs w:val="18"/>
              </w:rPr>
              <w:t>204,4</w:t>
            </w:r>
          </w:p>
        </w:tc>
        <w:tc>
          <w:tcPr>
            <w:tcW w:w="711" w:type="dxa"/>
            <w:tcBorders>
              <w:top w:val="nil"/>
              <w:left w:val="nil"/>
              <w:bottom w:val="single" w:sz="4" w:space="0" w:color="auto"/>
              <w:right w:val="single" w:sz="4" w:space="0" w:color="auto"/>
            </w:tcBorders>
            <w:shd w:val="clear" w:color="auto" w:fill="auto"/>
            <w:noWrap/>
            <w:vAlign w:val="bottom"/>
            <w:hideMark/>
          </w:tcPr>
          <w:p w14:paraId="4CBE67A9" w14:textId="77777777" w:rsidR="006159AF" w:rsidRPr="0031607E" w:rsidRDefault="006159AF" w:rsidP="00941D52">
            <w:pPr>
              <w:jc w:val="center"/>
              <w:rPr>
                <w:sz w:val="18"/>
                <w:szCs w:val="18"/>
              </w:rPr>
            </w:pPr>
            <w:r w:rsidRPr="0031607E">
              <w:rPr>
                <w:sz w:val="18"/>
                <w:szCs w:val="18"/>
              </w:rPr>
              <w:t>223,9</w:t>
            </w:r>
          </w:p>
        </w:tc>
        <w:tc>
          <w:tcPr>
            <w:tcW w:w="711" w:type="dxa"/>
            <w:tcBorders>
              <w:top w:val="nil"/>
              <w:left w:val="nil"/>
              <w:bottom w:val="single" w:sz="4" w:space="0" w:color="auto"/>
              <w:right w:val="single" w:sz="4" w:space="0" w:color="auto"/>
            </w:tcBorders>
            <w:shd w:val="clear" w:color="auto" w:fill="auto"/>
            <w:noWrap/>
            <w:vAlign w:val="bottom"/>
            <w:hideMark/>
          </w:tcPr>
          <w:p w14:paraId="3F9B8E91" w14:textId="77777777" w:rsidR="006159AF" w:rsidRPr="0031607E" w:rsidRDefault="006159AF" w:rsidP="00941D52">
            <w:pPr>
              <w:jc w:val="center"/>
              <w:rPr>
                <w:sz w:val="18"/>
                <w:szCs w:val="18"/>
              </w:rPr>
            </w:pPr>
            <w:r w:rsidRPr="0031607E">
              <w:rPr>
                <w:sz w:val="18"/>
                <w:szCs w:val="18"/>
              </w:rPr>
              <w:t>229,2</w:t>
            </w:r>
          </w:p>
        </w:tc>
        <w:tc>
          <w:tcPr>
            <w:tcW w:w="711" w:type="dxa"/>
            <w:tcBorders>
              <w:top w:val="nil"/>
              <w:left w:val="nil"/>
              <w:bottom w:val="single" w:sz="4" w:space="0" w:color="auto"/>
              <w:right w:val="single" w:sz="4" w:space="0" w:color="auto"/>
            </w:tcBorders>
            <w:shd w:val="clear" w:color="auto" w:fill="auto"/>
            <w:noWrap/>
            <w:vAlign w:val="bottom"/>
            <w:hideMark/>
          </w:tcPr>
          <w:p w14:paraId="4DB93827" w14:textId="77777777" w:rsidR="006159AF" w:rsidRPr="0031607E" w:rsidRDefault="006159AF" w:rsidP="00941D52">
            <w:pPr>
              <w:jc w:val="center"/>
              <w:rPr>
                <w:sz w:val="18"/>
                <w:szCs w:val="18"/>
              </w:rPr>
            </w:pPr>
            <w:r w:rsidRPr="0031607E">
              <w:rPr>
                <w:sz w:val="18"/>
                <w:szCs w:val="18"/>
              </w:rPr>
              <w:t>230,0</w:t>
            </w:r>
          </w:p>
        </w:tc>
        <w:tc>
          <w:tcPr>
            <w:tcW w:w="711" w:type="dxa"/>
            <w:tcBorders>
              <w:top w:val="nil"/>
              <w:left w:val="nil"/>
              <w:bottom w:val="single" w:sz="4" w:space="0" w:color="auto"/>
              <w:right w:val="single" w:sz="4" w:space="0" w:color="auto"/>
            </w:tcBorders>
            <w:shd w:val="clear" w:color="auto" w:fill="auto"/>
            <w:noWrap/>
            <w:vAlign w:val="bottom"/>
            <w:hideMark/>
          </w:tcPr>
          <w:p w14:paraId="55AC0416" w14:textId="77777777" w:rsidR="006159AF" w:rsidRPr="0031607E" w:rsidRDefault="006159AF" w:rsidP="00941D52">
            <w:pPr>
              <w:jc w:val="center"/>
              <w:rPr>
                <w:sz w:val="18"/>
                <w:szCs w:val="18"/>
              </w:rPr>
            </w:pPr>
            <w:r w:rsidRPr="0031607E">
              <w:rPr>
                <w:sz w:val="18"/>
                <w:szCs w:val="18"/>
              </w:rPr>
              <w:t>228,0</w:t>
            </w:r>
          </w:p>
        </w:tc>
        <w:tc>
          <w:tcPr>
            <w:tcW w:w="711" w:type="dxa"/>
            <w:tcBorders>
              <w:top w:val="nil"/>
              <w:left w:val="nil"/>
              <w:bottom w:val="single" w:sz="4" w:space="0" w:color="auto"/>
              <w:right w:val="single" w:sz="4" w:space="0" w:color="auto"/>
            </w:tcBorders>
            <w:shd w:val="clear" w:color="auto" w:fill="auto"/>
            <w:noWrap/>
            <w:vAlign w:val="bottom"/>
            <w:hideMark/>
          </w:tcPr>
          <w:p w14:paraId="4325AA9E" w14:textId="77777777" w:rsidR="006159AF" w:rsidRPr="0031607E" w:rsidRDefault="006159AF" w:rsidP="00941D52">
            <w:pPr>
              <w:jc w:val="center"/>
              <w:rPr>
                <w:sz w:val="18"/>
                <w:szCs w:val="18"/>
              </w:rPr>
            </w:pPr>
            <w:r w:rsidRPr="0031607E">
              <w:rPr>
                <w:sz w:val="18"/>
                <w:szCs w:val="18"/>
              </w:rPr>
              <w:t>228,2</w:t>
            </w:r>
          </w:p>
        </w:tc>
        <w:tc>
          <w:tcPr>
            <w:tcW w:w="711" w:type="dxa"/>
            <w:tcBorders>
              <w:top w:val="nil"/>
              <w:left w:val="nil"/>
              <w:bottom w:val="single" w:sz="4" w:space="0" w:color="auto"/>
              <w:right w:val="single" w:sz="4" w:space="0" w:color="auto"/>
            </w:tcBorders>
            <w:shd w:val="clear" w:color="auto" w:fill="auto"/>
            <w:noWrap/>
            <w:vAlign w:val="bottom"/>
            <w:hideMark/>
          </w:tcPr>
          <w:p w14:paraId="170F3516" w14:textId="77777777" w:rsidR="006159AF" w:rsidRPr="0031607E" w:rsidRDefault="006159AF" w:rsidP="00941D52">
            <w:pPr>
              <w:jc w:val="center"/>
              <w:rPr>
                <w:sz w:val="18"/>
                <w:szCs w:val="18"/>
              </w:rPr>
            </w:pPr>
            <w:r w:rsidRPr="0031607E">
              <w:rPr>
                <w:sz w:val="18"/>
                <w:szCs w:val="18"/>
              </w:rPr>
              <w:t>243,0</w:t>
            </w:r>
          </w:p>
        </w:tc>
        <w:tc>
          <w:tcPr>
            <w:tcW w:w="711" w:type="dxa"/>
            <w:tcBorders>
              <w:top w:val="nil"/>
              <w:left w:val="nil"/>
              <w:bottom w:val="single" w:sz="4" w:space="0" w:color="auto"/>
              <w:right w:val="single" w:sz="4" w:space="0" w:color="auto"/>
            </w:tcBorders>
            <w:shd w:val="clear" w:color="auto" w:fill="auto"/>
            <w:noWrap/>
            <w:vAlign w:val="bottom"/>
            <w:hideMark/>
          </w:tcPr>
          <w:p w14:paraId="3D743D9F" w14:textId="77777777" w:rsidR="006159AF" w:rsidRPr="0031607E" w:rsidRDefault="006159AF" w:rsidP="00941D52">
            <w:pPr>
              <w:jc w:val="center"/>
              <w:rPr>
                <w:sz w:val="18"/>
                <w:szCs w:val="18"/>
              </w:rPr>
            </w:pPr>
            <w:r w:rsidRPr="0031607E">
              <w:rPr>
                <w:sz w:val="18"/>
                <w:szCs w:val="18"/>
              </w:rPr>
              <w:t>252,3</w:t>
            </w:r>
          </w:p>
        </w:tc>
        <w:tc>
          <w:tcPr>
            <w:tcW w:w="711" w:type="dxa"/>
            <w:tcBorders>
              <w:top w:val="nil"/>
              <w:left w:val="nil"/>
              <w:bottom w:val="single" w:sz="4" w:space="0" w:color="auto"/>
              <w:right w:val="single" w:sz="4" w:space="0" w:color="auto"/>
            </w:tcBorders>
            <w:shd w:val="clear" w:color="auto" w:fill="auto"/>
            <w:noWrap/>
            <w:vAlign w:val="bottom"/>
            <w:hideMark/>
          </w:tcPr>
          <w:p w14:paraId="2F6CD22E" w14:textId="77777777" w:rsidR="006159AF" w:rsidRPr="0031607E" w:rsidRDefault="006159AF" w:rsidP="00941D52">
            <w:pPr>
              <w:jc w:val="center"/>
              <w:rPr>
                <w:sz w:val="18"/>
                <w:szCs w:val="18"/>
              </w:rPr>
            </w:pPr>
            <w:r w:rsidRPr="0031607E">
              <w:rPr>
                <w:sz w:val="18"/>
                <w:szCs w:val="18"/>
              </w:rPr>
              <w:t>246,3</w:t>
            </w:r>
          </w:p>
        </w:tc>
        <w:tc>
          <w:tcPr>
            <w:tcW w:w="711" w:type="dxa"/>
            <w:tcBorders>
              <w:top w:val="nil"/>
              <w:left w:val="nil"/>
              <w:bottom w:val="single" w:sz="4" w:space="0" w:color="auto"/>
              <w:right w:val="single" w:sz="4" w:space="0" w:color="auto"/>
            </w:tcBorders>
            <w:shd w:val="clear" w:color="auto" w:fill="auto"/>
            <w:noWrap/>
            <w:vAlign w:val="bottom"/>
            <w:hideMark/>
          </w:tcPr>
          <w:p w14:paraId="7CC80B3E" w14:textId="77777777" w:rsidR="006159AF" w:rsidRPr="0031607E" w:rsidRDefault="006159AF" w:rsidP="00941D52">
            <w:pPr>
              <w:jc w:val="center"/>
              <w:rPr>
                <w:sz w:val="18"/>
                <w:szCs w:val="18"/>
              </w:rPr>
            </w:pPr>
            <w:r w:rsidRPr="0031607E">
              <w:rPr>
                <w:sz w:val="18"/>
                <w:szCs w:val="18"/>
              </w:rPr>
              <w:t>254,4</w:t>
            </w:r>
          </w:p>
        </w:tc>
        <w:tc>
          <w:tcPr>
            <w:tcW w:w="711" w:type="dxa"/>
            <w:tcBorders>
              <w:top w:val="nil"/>
              <w:left w:val="nil"/>
              <w:bottom w:val="single" w:sz="4" w:space="0" w:color="auto"/>
              <w:right w:val="single" w:sz="4" w:space="0" w:color="auto"/>
            </w:tcBorders>
            <w:shd w:val="clear" w:color="auto" w:fill="auto"/>
            <w:noWrap/>
            <w:vAlign w:val="bottom"/>
            <w:hideMark/>
          </w:tcPr>
          <w:p w14:paraId="2164563E" w14:textId="77777777" w:rsidR="006159AF" w:rsidRPr="0031607E" w:rsidRDefault="006159AF" w:rsidP="00941D52">
            <w:pPr>
              <w:jc w:val="center"/>
              <w:rPr>
                <w:sz w:val="18"/>
                <w:szCs w:val="18"/>
              </w:rPr>
            </w:pPr>
            <w:r w:rsidRPr="0031607E">
              <w:rPr>
                <w:sz w:val="18"/>
                <w:szCs w:val="18"/>
              </w:rPr>
              <w:t>259,5</w:t>
            </w:r>
          </w:p>
        </w:tc>
      </w:tr>
      <w:tr w:rsidR="006159AF" w:rsidRPr="0031607E" w14:paraId="0B9FE064" w14:textId="77777777" w:rsidTr="00941D52">
        <w:trPr>
          <w:trHeight w:val="491"/>
          <w:jc w:val="center"/>
        </w:trPr>
        <w:tc>
          <w:tcPr>
            <w:tcW w:w="1656" w:type="dxa"/>
            <w:tcBorders>
              <w:top w:val="nil"/>
              <w:left w:val="single" w:sz="4" w:space="0" w:color="auto"/>
              <w:bottom w:val="single" w:sz="4" w:space="0" w:color="auto"/>
              <w:right w:val="single" w:sz="4" w:space="0" w:color="auto"/>
            </w:tcBorders>
            <w:shd w:val="clear" w:color="auto" w:fill="auto"/>
            <w:vAlign w:val="bottom"/>
            <w:hideMark/>
          </w:tcPr>
          <w:p w14:paraId="2BBB9566" w14:textId="18B3B61B" w:rsidR="006159AF" w:rsidRPr="0031607E" w:rsidRDefault="00F8208C" w:rsidP="00941D52">
            <w:pPr>
              <w:jc w:val="center"/>
              <w:rPr>
                <w:sz w:val="18"/>
                <w:szCs w:val="18"/>
              </w:rPr>
            </w:pPr>
            <w:proofErr w:type="spellStart"/>
            <w:r w:rsidRPr="00F8208C">
              <w:rPr>
                <w:sz w:val="18"/>
                <w:szCs w:val="18"/>
              </w:rPr>
              <w:t>Agriculture</w:t>
            </w:r>
            <w:proofErr w:type="spellEnd"/>
          </w:p>
        </w:tc>
        <w:tc>
          <w:tcPr>
            <w:tcW w:w="711" w:type="dxa"/>
            <w:tcBorders>
              <w:top w:val="nil"/>
              <w:left w:val="nil"/>
              <w:bottom w:val="single" w:sz="4" w:space="0" w:color="auto"/>
              <w:right w:val="single" w:sz="4" w:space="0" w:color="auto"/>
            </w:tcBorders>
            <w:shd w:val="clear" w:color="auto" w:fill="auto"/>
            <w:noWrap/>
            <w:vAlign w:val="bottom"/>
            <w:hideMark/>
          </w:tcPr>
          <w:p w14:paraId="565F21E0" w14:textId="77777777" w:rsidR="006159AF" w:rsidRPr="0031607E" w:rsidRDefault="006159AF" w:rsidP="00941D52">
            <w:pPr>
              <w:jc w:val="center"/>
              <w:rPr>
                <w:sz w:val="18"/>
                <w:szCs w:val="18"/>
              </w:rPr>
            </w:pPr>
            <w:r w:rsidRPr="0031607E">
              <w:rPr>
                <w:sz w:val="18"/>
                <w:szCs w:val="18"/>
              </w:rPr>
              <w:t>106,8</w:t>
            </w:r>
          </w:p>
        </w:tc>
        <w:tc>
          <w:tcPr>
            <w:tcW w:w="711" w:type="dxa"/>
            <w:tcBorders>
              <w:top w:val="nil"/>
              <w:left w:val="nil"/>
              <w:bottom w:val="single" w:sz="4" w:space="0" w:color="auto"/>
              <w:right w:val="single" w:sz="4" w:space="0" w:color="auto"/>
            </w:tcBorders>
            <w:shd w:val="clear" w:color="auto" w:fill="auto"/>
            <w:noWrap/>
            <w:vAlign w:val="bottom"/>
            <w:hideMark/>
          </w:tcPr>
          <w:p w14:paraId="1AA37494" w14:textId="77777777" w:rsidR="006159AF" w:rsidRPr="0031607E" w:rsidRDefault="006159AF" w:rsidP="00941D52">
            <w:pPr>
              <w:jc w:val="center"/>
              <w:rPr>
                <w:sz w:val="18"/>
                <w:szCs w:val="18"/>
              </w:rPr>
            </w:pPr>
            <w:r w:rsidRPr="0031607E">
              <w:rPr>
                <w:sz w:val="18"/>
                <w:szCs w:val="18"/>
              </w:rPr>
              <w:t>105,4</w:t>
            </w:r>
          </w:p>
        </w:tc>
        <w:tc>
          <w:tcPr>
            <w:tcW w:w="711" w:type="dxa"/>
            <w:tcBorders>
              <w:top w:val="nil"/>
              <w:left w:val="nil"/>
              <w:bottom w:val="single" w:sz="4" w:space="0" w:color="auto"/>
              <w:right w:val="single" w:sz="4" w:space="0" w:color="auto"/>
            </w:tcBorders>
            <w:shd w:val="clear" w:color="auto" w:fill="auto"/>
            <w:noWrap/>
            <w:vAlign w:val="bottom"/>
            <w:hideMark/>
          </w:tcPr>
          <w:p w14:paraId="0BBC2251" w14:textId="77777777" w:rsidR="006159AF" w:rsidRPr="0031607E" w:rsidRDefault="006159AF" w:rsidP="00941D52">
            <w:pPr>
              <w:jc w:val="center"/>
              <w:rPr>
                <w:sz w:val="18"/>
                <w:szCs w:val="18"/>
              </w:rPr>
            </w:pPr>
            <w:r w:rsidRPr="0031607E">
              <w:rPr>
                <w:sz w:val="18"/>
                <w:szCs w:val="18"/>
              </w:rPr>
              <w:t>107,1</w:t>
            </w:r>
          </w:p>
        </w:tc>
        <w:tc>
          <w:tcPr>
            <w:tcW w:w="711" w:type="dxa"/>
            <w:tcBorders>
              <w:top w:val="nil"/>
              <w:left w:val="nil"/>
              <w:bottom w:val="single" w:sz="4" w:space="0" w:color="auto"/>
              <w:right w:val="single" w:sz="4" w:space="0" w:color="auto"/>
            </w:tcBorders>
            <w:shd w:val="clear" w:color="auto" w:fill="auto"/>
            <w:noWrap/>
            <w:vAlign w:val="bottom"/>
            <w:hideMark/>
          </w:tcPr>
          <w:p w14:paraId="4B7D3B04" w14:textId="77777777" w:rsidR="006159AF" w:rsidRPr="0031607E" w:rsidRDefault="006159AF" w:rsidP="00941D52">
            <w:pPr>
              <w:jc w:val="center"/>
              <w:rPr>
                <w:sz w:val="18"/>
                <w:szCs w:val="18"/>
              </w:rPr>
            </w:pPr>
            <w:r w:rsidRPr="0031607E">
              <w:rPr>
                <w:sz w:val="18"/>
                <w:szCs w:val="18"/>
              </w:rPr>
              <w:t>109,6</w:t>
            </w:r>
          </w:p>
        </w:tc>
        <w:tc>
          <w:tcPr>
            <w:tcW w:w="711" w:type="dxa"/>
            <w:tcBorders>
              <w:top w:val="nil"/>
              <w:left w:val="nil"/>
              <w:bottom w:val="single" w:sz="4" w:space="0" w:color="auto"/>
              <w:right w:val="single" w:sz="4" w:space="0" w:color="auto"/>
            </w:tcBorders>
            <w:shd w:val="clear" w:color="auto" w:fill="auto"/>
            <w:noWrap/>
            <w:vAlign w:val="bottom"/>
            <w:hideMark/>
          </w:tcPr>
          <w:p w14:paraId="1E4DEE22" w14:textId="77777777" w:rsidR="006159AF" w:rsidRPr="0031607E" w:rsidRDefault="006159AF" w:rsidP="00941D52">
            <w:pPr>
              <w:jc w:val="center"/>
              <w:rPr>
                <w:sz w:val="18"/>
                <w:szCs w:val="18"/>
              </w:rPr>
            </w:pPr>
            <w:r w:rsidRPr="0031607E">
              <w:rPr>
                <w:sz w:val="18"/>
                <w:szCs w:val="18"/>
              </w:rPr>
              <w:t>109,4</w:t>
            </w:r>
          </w:p>
        </w:tc>
        <w:tc>
          <w:tcPr>
            <w:tcW w:w="711" w:type="dxa"/>
            <w:tcBorders>
              <w:top w:val="nil"/>
              <w:left w:val="nil"/>
              <w:bottom w:val="single" w:sz="4" w:space="0" w:color="auto"/>
              <w:right w:val="single" w:sz="4" w:space="0" w:color="auto"/>
            </w:tcBorders>
            <w:shd w:val="clear" w:color="auto" w:fill="auto"/>
            <w:noWrap/>
            <w:vAlign w:val="bottom"/>
            <w:hideMark/>
          </w:tcPr>
          <w:p w14:paraId="2EB5547C" w14:textId="77777777" w:rsidR="006159AF" w:rsidRPr="0031607E" w:rsidRDefault="006159AF" w:rsidP="00941D52">
            <w:pPr>
              <w:jc w:val="center"/>
              <w:rPr>
                <w:sz w:val="18"/>
                <w:szCs w:val="18"/>
              </w:rPr>
            </w:pPr>
            <w:r w:rsidRPr="0031607E">
              <w:rPr>
                <w:sz w:val="18"/>
                <w:szCs w:val="18"/>
              </w:rPr>
              <w:t>110,5</w:t>
            </w:r>
          </w:p>
        </w:tc>
        <w:tc>
          <w:tcPr>
            <w:tcW w:w="711" w:type="dxa"/>
            <w:tcBorders>
              <w:top w:val="nil"/>
              <w:left w:val="nil"/>
              <w:bottom w:val="single" w:sz="4" w:space="0" w:color="auto"/>
              <w:right w:val="single" w:sz="4" w:space="0" w:color="auto"/>
            </w:tcBorders>
            <w:shd w:val="clear" w:color="auto" w:fill="auto"/>
            <w:noWrap/>
            <w:vAlign w:val="bottom"/>
            <w:hideMark/>
          </w:tcPr>
          <w:p w14:paraId="7D76F37B" w14:textId="77777777" w:rsidR="006159AF" w:rsidRPr="0031607E" w:rsidRDefault="006159AF" w:rsidP="00941D52">
            <w:pPr>
              <w:jc w:val="center"/>
              <w:rPr>
                <w:sz w:val="18"/>
                <w:szCs w:val="18"/>
              </w:rPr>
            </w:pPr>
            <w:r w:rsidRPr="0031607E">
              <w:rPr>
                <w:sz w:val="18"/>
                <w:szCs w:val="18"/>
              </w:rPr>
              <w:t>114,3</w:t>
            </w:r>
          </w:p>
        </w:tc>
        <w:tc>
          <w:tcPr>
            <w:tcW w:w="711" w:type="dxa"/>
            <w:tcBorders>
              <w:top w:val="nil"/>
              <w:left w:val="nil"/>
              <w:bottom w:val="single" w:sz="4" w:space="0" w:color="auto"/>
              <w:right w:val="single" w:sz="4" w:space="0" w:color="auto"/>
            </w:tcBorders>
            <w:shd w:val="clear" w:color="auto" w:fill="auto"/>
            <w:noWrap/>
            <w:vAlign w:val="bottom"/>
            <w:hideMark/>
          </w:tcPr>
          <w:p w14:paraId="5767BF1A" w14:textId="77777777" w:rsidR="006159AF" w:rsidRPr="0031607E" w:rsidRDefault="006159AF" w:rsidP="00941D52">
            <w:pPr>
              <w:jc w:val="center"/>
              <w:rPr>
                <w:sz w:val="18"/>
                <w:szCs w:val="18"/>
              </w:rPr>
            </w:pPr>
            <w:r w:rsidRPr="0031607E">
              <w:rPr>
                <w:sz w:val="18"/>
                <w:szCs w:val="18"/>
              </w:rPr>
              <w:t>115,2</w:t>
            </w:r>
          </w:p>
        </w:tc>
        <w:tc>
          <w:tcPr>
            <w:tcW w:w="711" w:type="dxa"/>
            <w:tcBorders>
              <w:top w:val="nil"/>
              <w:left w:val="nil"/>
              <w:bottom w:val="single" w:sz="4" w:space="0" w:color="auto"/>
              <w:right w:val="single" w:sz="4" w:space="0" w:color="auto"/>
            </w:tcBorders>
            <w:shd w:val="clear" w:color="auto" w:fill="auto"/>
            <w:noWrap/>
            <w:vAlign w:val="bottom"/>
            <w:hideMark/>
          </w:tcPr>
          <w:p w14:paraId="421B2761" w14:textId="77777777" w:rsidR="006159AF" w:rsidRPr="0031607E" w:rsidRDefault="006159AF" w:rsidP="00941D52">
            <w:pPr>
              <w:jc w:val="center"/>
              <w:rPr>
                <w:sz w:val="18"/>
                <w:szCs w:val="18"/>
              </w:rPr>
            </w:pPr>
            <w:r w:rsidRPr="0031607E">
              <w:rPr>
                <w:sz w:val="18"/>
                <w:szCs w:val="18"/>
              </w:rPr>
              <w:t>114,8</w:t>
            </w:r>
          </w:p>
        </w:tc>
        <w:tc>
          <w:tcPr>
            <w:tcW w:w="711" w:type="dxa"/>
            <w:tcBorders>
              <w:top w:val="nil"/>
              <w:left w:val="nil"/>
              <w:bottom w:val="single" w:sz="4" w:space="0" w:color="auto"/>
              <w:right w:val="single" w:sz="4" w:space="0" w:color="auto"/>
            </w:tcBorders>
            <w:shd w:val="clear" w:color="auto" w:fill="auto"/>
            <w:noWrap/>
            <w:vAlign w:val="bottom"/>
            <w:hideMark/>
          </w:tcPr>
          <w:p w14:paraId="26C29366" w14:textId="77777777" w:rsidR="006159AF" w:rsidRPr="0031607E" w:rsidRDefault="006159AF" w:rsidP="00941D52">
            <w:pPr>
              <w:jc w:val="center"/>
              <w:rPr>
                <w:sz w:val="18"/>
                <w:szCs w:val="18"/>
              </w:rPr>
            </w:pPr>
            <w:r w:rsidRPr="0031607E">
              <w:rPr>
                <w:sz w:val="18"/>
                <w:szCs w:val="18"/>
              </w:rPr>
              <w:t>116,4</w:t>
            </w:r>
          </w:p>
        </w:tc>
        <w:tc>
          <w:tcPr>
            <w:tcW w:w="711" w:type="dxa"/>
            <w:tcBorders>
              <w:top w:val="nil"/>
              <w:left w:val="nil"/>
              <w:bottom w:val="single" w:sz="4" w:space="0" w:color="auto"/>
              <w:right w:val="single" w:sz="4" w:space="0" w:color="auto"/>
            </w:tcBorders>
            <w:shd w:val="clear" w:color="auto" w:fill="auto"/>
            <w:noWrap/>
            <w:vAlign w:val="bottom"/>
            <w:hideMark/>
          </w:tcPr>
          <w:p w14:paraId="119D7DC2" w14:textId="77777777" w:rsidR="006159AF" w:rsidRPr="0031607E" w:rsidRDefault="006159AF" w:rsidP="00941D52">
            <w:pPr>
              <w:jc w:val="center"/>
              <w:rPr>
                <w:sz w:val="18"/>
                <w:szCs w:val="18"/>
              </w:rPr>
            </w:pPr>
            <w:r w:rsidRPr="0031607E">
              <w:rPr>
                <w:sz w:val="18"/>
                <w:szCs w:val="18"/>
              </w:rPr>
              <w:t>118,8</w:t>
            </w:r>
          </w:p>
        </w:tc>
        <w:tc>
          <w:tcPr>
            <w:tcW w:w="711" w:type="dxa"/>
            <w:tcBorders>
              <w:top w:val="nil"/>
              <w:left w:val="nil"/>
              <w:bottom w:val="single" w:sz="4" w:space="0" w:color="auto"/>
              <w:right w:val="single" w:sz="4" w:space="0" w:color="auto"/>
            </w:tcBorders>
            <w:shd w:val="clear" w:color="auto" w:fill="auto"/>
            <w:noWrap/>
            <w:vAlign w:val="bottom"/>
            <w:hideMark/>
          </w:tcPr>
          <w:p w14:paraId="61EE3CD0" w14:textId="77777777" w:rsidR="006159AF" w:rsidRPr="0031607E" w:rsidRDefault="006159AF" w:rsidP="00941D52">
            <w:pPr>
              <w:jc w:val="center"/>
              <w:rPr>
                <w:sz w:val="18"/>
                <w:szCs w:val="18"/>
              </w:rPr>
            </w:pPr>
            <w:r w:rsidRPr="0031607E">
              <w:rPr>
                <w:sz w:val="18"/>
                <w:szCs w:val="18"/>
              </w:rPr>
              <w:t>121,3</w:t>
            </w:r>
          </w:p>
        </w:tc>
      </w:tr>
      <w:tr w:rsidR="006159AF" w:rsidRPr="0031607E" w14:paraId="52EE556D" w14:textId="77777777" w:rsidTr="00941D52">
        <w:trPr>
          <w:trHeight w:val="491"/>
          <w:jc w:val="center"/>
        </w:trPr>
        <w:tc>
          <w:tcPr>
            <w:tcW w:w="1656" w:type="dxa"/>
            <w:tcBorders>
              <w:top w:val="nil"/>
              <w:left w:val="single" w:sz="4" w:space="0" w:color="auto"/>
              <w:bottom w:val="single" w:sz="4" w:space="0" w:color="auto"/>
              <w:right w:val="single" w:sz="4" w:space="0" w:color="auto"/>
            </w:tcBorders>
            <w:shd w:val="clear" w:color="auto" w:fill="auto"/>
            <w:vAlign w:val="bottom"/>
            <w:hideMark/>
          </w:tcPr>
          <w:p w14:paraId="0F70143A" w14:textId="0793867F" w:rsidR="006159AF" w:rsidRPr="0031607E" w:rsidRDefault="00F8208C" w:rsidP="00941D52">
            <w:pPr>
              <w:jc w:val="center"/>
              <w:rPr>
                <w:sz w:val="18"/>
                <w:szCs w:val="18"/>
              </w:rPr>
            </w:pPr>
            <w:r w:rsidRPr="00F8208C">
              <w:rPr>
                <w:sz w:val="18"/>
                <w:szCs w:val="18"/>
              </w:rPr>
              <w:t xml:space="preserve">Land </w:t>
            </w:r>
            <w:proofErr w:type="spellStart"/>
            <w:r w:rsidRPr="00F8208C">
              <w:rPr>
                <w:sz w:val="18"/>
                <w:szCs w:val="18"/>
              </w:rPr>
              <w:t>Use</w:t>
            </w:r>
            <w:proofErr w:type="spellEnd"/>
          </w:p>
        </w:tc>
        <w:tc>
          <w:tcPr>
            <w:tcW w:w="711" w:type="dxa"/>
            <w:tcBorders>
              <w:top w:val="nil"/>
              <w:left w:val="nil"/>
              <w:bottom w:val="single" w:sz="4" w:space="0" w:color="auto"/>
              <w:right w:val="single" w:sz="4" w:space="0" w:color="auto"/>
            </w:tcBorders>
            <w:shd w:val="clear" w:color="auto" w:fill="auto"/>
            <w:noWrap/>
            <w:vAlign w:val="bottom"/>
            <w:hideMark/>
          </w:tcPr>
          <w:p w14:paraId="59C4BBE0" w14:textId="77777777" w:rsidR="006159AF" w:rsidRPr="0031607E" w:rsidRDefault="006159AF" w:rsidP="00941D52">
            <w:pPr>
              <w:jc w:val="center"/>
              <w:rPr>
                <w:sz w:val="18"/>
                <w:szCs w:val="18"/>
              </w:rPr>
            </w:pPr>
            <w:r w:rsidRPr="0031607E">
              <w:rPr>
                <w:sz w:val="18"/>
                <w:szCs w:val="18"/>
              </w:rPr>
              <w:t>-539,7</w:t>
            </w:r>
          </w:p>
        </w:tc>
        <w:tc>
          <w:tcPr>
            <w:tcW w:w="711" w:type="dxa"/>
            <w:tcBorders>
              <w:top w:val="nil"/>
              <w:left w:val="nil"/>
              <w:bottom w:val="single" w:sz="4" w:space="0" w:color="auto"/>
              <w:right w:val="single" w:sz="4" w:space="0" w:color="auto"/>
            </w:tcBorders>
            <w:shd w:val="clear" w:color="auto" w:fill="auto"/>
            <w:noWrap/>
            <w:vAlign w:val="bottom"/>
            <w:hideMark/>
          </w:tcPr>
          <w:p w14:paraId="6B68732A" w14:textId="77777777" w:rsidR="006159AF" w:rsidRPr="0031607E" w:rsidRDefault="006159AF" w:rsidP="00941D52">
            <w:pPr>
              <w:jc w:val="center"/>
              <w:rPr>
                <w:sz w:val="18"/>
                <w:szCs w:val="18"/>
              </w:rPr>
            </w:pPr>
            <w:r w:rsidRPr="0031607E">
              <w:rPr>
                <w:sz w:val="18"/>
                <w:szCs w:val="18"/>
              </w:rPr>
              <w:t>-698,1</w:t>
            </w:r>
          </w:p>
        </w:tc>
        <w:tc>
          <w:tcPr>
            <w:tcW w:w="711" w:type="dxa"/>
            <w:tcBorders>
              <w:top w:val="nil"/>
              <w:left w:val="nil"/>
              <w:bottom w:val="single" w:sz="4" w:space="0" w:color="auto"/>
              <w:right w:val="single" w:sz="4" w:space="0" w:color="auto"/>
            </w:tcBorders>
            <w:shd w:val="clear" w:color="auto" w:fill="auto"/>
            <w:noWrap/>
            <w:vAlign w:val="bottom"/>
            <w:hideMark/>
          </w:tcPr>
          <w:p w14:paraId="2116F697" w14:textId="77777777" w:rsidR="006159AF" w:rsidRPr="0031607E" w:rsidRDefault="006159AF" w:rsidP="00941D52">
            <w:pPr>
              <w:jc w:val="center"/>
              <w:rPr>
                <w:sz w:val="18"/>
                <w:szCs w:val="18"/>
              </w:rPr>
            </w:pPr>
            <w:r w:rsidRPr="0031607E">
              <w:rPr>
                <w:sz w:val="18"/>
                <w:szCs w:val="18"/>
              </w:rPr>
              <w:t>-661,5</w:t>
            </w:r>
          </w:p>
        </w:tc>
        <w:tc>
          <w:tcPr>
            <w:tcW w:w="711" w:type="dxa"/>
            <w:tcBorders>
              <w:top w:val="nil"/>
              <w:left w:val="nil"/>
              <w:bottom w:val="single" w:sz="4" w:space="0" w:color="auto"/>
              <w:right w:val="single" w:sz="4" w:space="0" w:color="auto"/>
            </w:tcBorders>
            <w:shd w:val="clear" w:color="auto" w:fill="auto"/>
            <w:noWrap/>
            <w:vAlign w:val="bottom"/>
            <w:hideMark/>
          </w:tcPr>
          <w:p w14:paraId="08FEBABA" w14:textId="77777777" w:rsidR="006159AF" w:rsidRPr="0031607E" w:rsidRDefault="006159AF" w:rsidP="00941D52">
            <w:pPr>
              <w:jc w:val="center"/>
              <w:rPr>
                <w:sz w:val="18"/>
                <w:szCs w:val="18"/>
              </w:rPr>
            </w:pPr>
            <w:r w:rsidRPr="0031607E">
              <w:rPr>
                <w:sz w:val="18"/>
                <w:szCs w:val="18"/>
              </w:rPr>
              <w:t>-612,6</w:t>
            </w:r>
          </w:p>
        </w:tc>
        <w:tc>
          <w:tcPr>
            <w:tcW w:w="711" w:type="dxa"/>
            <w:tcBorders>
              <w:top w:val="nil"/>
              <w:left w:val="nil"/>
              <w:bottom w:val="single" w:sz="4" w:space="0" w:color="auto"/>
              <w:right w:val="single" w:sz="4" w:space="0" w:color="auto"/>
            </w:tcBorders>
            <w:shd w:val="clear" w:color="auto" w:fill="auto"/>
            <w:noWrap/>
            <w:vAlign w:val="bottom"/>
            <w:hideMark/>
          </w:tcPr>
          <w:p w14:paraId="2F4E2A11" w14:textId="77777777" w:rsidR="006159AF" w:rsidRPr="0031607E" w:rsidRDefault="006159AF" w:rsidP="00941D52">
            <w:pPr>
              <w:jc w:val="center"/>
              <w:rPr>
                <w:sz w:val="18"/>
                <w:szCs w:val="18"/>
              </w:rPr>
            </w:pPr>
            <w:r w:rsidRPr="0031607E">
              <w:rPr>
                <w:sz w:val="18"/>
                <w:szCs w:val="18"/>
              </w:rPr>
              <w:t>-657,4</w:t>
            </w:r>
          </w:p>
        </w:tc>
        <w:tc>
          <w:tcPr>
            <w:tcW w:w="711" w:type="dxa"/>
            <w:tcBorders>
              <w:top w:val="nil"/>
              <w:left w:val="nil"/>
              <w:bottom w:val="single" w:sz="4" w:space="0" w:color="auto"/>
              <w:right w:val="single" w:sz="4" w:space="0" w:color="auto"/>
            </w:tcBorders>
            <w:shd w:val="clear" w:color="auto" w:fill="auto"/>
            <w:noWrap/>
            <w:vAlign w:val="bottom"/>
            <w:hideMark/>
          </w:tcPr>
          <w:p w14:paraId="64B0A65D" w14:textId="77777777" w:rsidR="006159AF" w:rsidRPr="0031607E" w:rsidRDefault="006159AF" w:rsidP="00941D52">
            <w:pPr>
              <w:jc w:val="center"/>
              <w:rPr>
                <w:sz w:val="18"/>
                <w:szCs w:val="18"/>
              </w:rPr>
            </w:pPr>
            <w:r w:rsidRPr="0031607E">
              <w:rPr>
                <w:sz w:val="18"/>
                <w:szCs w:val="18"/>
              </w:rPr>
              <w:t>-583,3</w:t>
            </w:r>
          </w:p>
        </w:tc>
        <w:tc>
          <w:tcPr>
            <w:tcW w:w="711" w:type="dxa"/>
            <w:tcBorders>
              <w:top w:val="nil"/>
              <w:left w:val="nil"/>
              <w:bottom w:val="single" w:sz="4" w:space="0" w:color="auto"/>
              <w:right w:val="single" w:sz="4" w:space="0" w:color="auto"/>
            </w:tcBorders>
            <w:shd w:val="clear" w:color="auto" w:fill="auto"/>
            <w:noWrap/>
            <w:vAlign w:val="bottom"/>
            <w:hideMark/>
          </w:tcPr>
          <w:p w14:paraId="67EB35F8" w14:textId="77777777" w:rsidR="006159AF" w:rsidRPr="0031607E" w:rsidRDefault="006159AF" w:rsidP="00941D52">
            <w:pPr>
              <w:jc w:val="center"/>
              <w:rPr>
                <w:sz w:val="18"/>
                <w:szCs w:val="18"/>
              </w:rPr>
            </w:pPr>
            <w:r w:rsidRPr="0031607E">
              <w:rPr>
                <w:sz w:val="18"/>
                <w:szCs w:val="18"/>
              </w:rPr>
              <w:t>-615,3</w:t>
            </w:r>
          </w:p>
        </w:tc>
        <w:tc>
          <w:tcPr>
            <w:tcW w:w="711" w:type="dxa"/>
            <w:tcBorders>
              <w:top w:val="nil"/>
              <w:left w:val="nil"/>
              <w:bottom w:val="single" w:sz="4" w:space="0" w:color="auto"/>
              <w:right w:val="single" w:sz="4" w:space="0" w:color="auto"/>
            </w:tcBorders>
            <w:shd w:val="clear" w:color="auto" w:fill="auto"/>
            <w:noWrap/>
            <w:vAlign w:val="bottom"/>
            <w:hideMark/>
          </w:tcPr>
          <w:p w14:paraId="4582526B" w14:textId="77777777" w:rsidR="006159AF" w:rsidRPr="0031607E" w:rsidRDefault="006159AF" w:rsidP="00941D52">
            <w:pPr>
              <w:jc w:val="center"/>
              <w:rPr>
                <w:sz w:val="18"/>
                <w:szCs w:val="18"/>
              </w:rPr>
            </w:pPr>
            <w:r w:rsidRPr="0031607E">
              <w:rPr>
                <w:sz w:val="18"/>
                <w:szCs w:val="18"/>
              </w:rPr>
              <w:t>-602,9</w:t>
            </w:r>
          </w:p>
        </w:tc>
        <w:tc>
          <w:tcPr>
            <w:tcW w:w="711" w:type="dxa"/>
            <w:tcBorders>
              <w:top w:val="nil"/>
              <w:left w:val="nil"/>
              <w:bottom w:val="single" w:sz="4" w:space="0" w:color="auto"/>
              <w:right w:val="single" w:sz="4" w:space="0" w:color="auto"/>
            </w:tcBorders>
            <w:shd w:val="clear" w:color="auto" w:fill="auto"/>
            <w:noWrap/>
            <w:vAlign w:val="bottom"/>
            <w:hideMark/>
          </w:tcPr>
          <w:p w14:paraId="33A0BF38" w14:textId="77777777" w:rsidR="006159AF" w:rsidRPr="0031607E" w:rsidRDefault="006159AF" w:rsidP="00941D52">
            <w:pPr>
              <w:jc w:val="center"/>
              <w:rPr>
                <w:sz w:val="18"/>
                <w:szCs w:val="18"/>
              </w:rPr>
            </w:pPr>
            <w:r w:rsidRPr="0031607E">
              <w:rPr>
                <w:sz w:val="18"/>
                <w:szCs w:val="18"/>
              </w:rPr>
              <w:t>-577,3</w:t>
            </w:r>
          </w:p>
        </w:tc>
        <w:tc>
          <w:tcPr>
            <w:tcW w:w="711" w:type="dxa"/>
            <w:tcBorders>
              <w:top w:val="nil"/>
              <w:left w:val="nil"/>
              <w:bottom w:val="single" w:sz="4" w:space="0" w:color="auto"/>
              <w:right w:val="single" w:sz="4" w:space="0" w:color="auto"/>
            </w:tcBorders>
            <w:shd w:val="clear" w:color="auto" w:fill="auto"/>
            <w:noWrap/>
            <w:vAlign w:val="bottom"/>
            <w:hideMark/>
          </w:tcPr>
          <w:p w14:paraId="38D493D9" w14:textId="77777777" w:rsidR="006159AF" w:rsidRPr="0031607E" w:rsidRDefault="006159AF" w:rsidP="00941D52">
            <w:pPr>
              <w:jc w:val="center"/>
              <w:rPr>
                <w:sz w:val="18"/>
                <w:szCs w:val="18"/>
              </w:rPr>
            </w:pPr>
            <w:r w:rsidRPr="0031607E">
              <w:rPr>
                <w:sz w:val="18"/>
                <w:szCs w:val="18"/>
              </w:rPr>
              <w:t>-550,5</w:t>
            </w:r>
          </w:p>
        </w:tc>
        <w:tc>
          <w:tcPr>
            <w:tcW w:w="711" w:type="dxa"/>
            <w:tcBorders>
              <w:top w:val="nil"/>
              <w:left w:val="nil"/>
              <w:bottom w:val="single" w:sz="4" w:space="0" w:color="auto"/>
              <w:right w:val="single" w:sz="4" w:space="0" w:color="auto"/>
            </w:tcBorders>
            <w:shd w:val="clear" w:color="auto" w:fill="auto"/>
            <w:noWrap/>
            <w:vAlign w:val="bottom"/>
            <w:hideMark/>
          </w:tcPr>
          <w:p w14:paraId="4E38B0C4" w14:textId="77777777" w:rsidR="006159AF" w:rsidRPr="0031607E" w:rsidRDefault="006159AF" w:rsidP="00941D52">
            <w:pPr>
              <w:jc w:val="center"/>
              <w:rPr>
                <w:sz w:val="18"/>
                <w:szCs w:val="18"/>
              </w:rPr>
            </w:pPr>
            <w:r w:rsidRPr="0031607E">
              <w:rPr>
                <w:sz w:val="18"/>
                <w:szCs w:val="18"/>
              </w:rPr>
              <w:t>-557,6</w:t>
            </w:r>
          </w:p>
        </w:tc>
        <w:tc>
          <w:tcPr>
            <w:tcW w:w="711" w:type="dxa"/>
            <w:tcBorders>
              <w:top w:val="nil"/>
              <w:left w:val="nil"/>
              <w:bottom w:val="single" w:sz="4" w:space="0" w:color="auto"/>
              <w:right w:val="single" w:sz="4" w:space="0" w:color="auto"/>
            </w:tcBorders>
            <w:shd w:val="clear" w:color="auto" w:fill="auto"/>
            <w:noWrap/>
            <w:vAlign w:val="bottom"/>
            <w:hideMark/>
          </w:tcPr>
          <w:p w14:paraId="6FE22D3C" w14:textId="77777777" w:rsidR="006159AF" w:rsidRPr="0031607E" w:rsidRDefault="006159AF" w:rsidP="00941D52">
            <w:pPr>
              <w:jc w:val="center"/>
              <w:rPr>
                <w:sz w:val="18"/>
                <w:szCs w:val="18"/>
              </w:rPr>
            </w:pPr>
            <w:r w:rsidRPr="0031607E">
              <w:rPr>
                <w:sz w:val="18"/>
                <w:szCs w:val="18"/>
              </w:rPr>
              <w:t>-484,8</w:t>
            </w:r>
          </w:p>
        </w:tc>
      </w:tr>
      <w:tr w:rsidR="006159AF" w:rsidRPr="0031607E" w14:paraId="6C79E0E2" w14:textId="77777777" w:rsidTr="00941D52">
        <w:trPr>
          <w:trHeight w:val="242"/>
          <w:jc w:val="center"/>
        </w:trPr>
        <w:tc>
          <w:tcPr>
            <w:tcW w:w="1656" w:type="dxa"/>
            <w:tcBorders>
              <w:top w:val="nil"/>
              <w:left w:val="single" w:sz="4" w:space="0" w:color="auto"/>
              <w:bottom w:val="single" w:sz="4" w:space="0" w:color="auto"/>
              <w:right w:val="single" w:sz="4" w:space="0" w:color="auto"/>
            </w:tcBorders>
            <w:shd w:val="clear" w:color="auto" w:fill="auto"/>
            <w:vAlign w:val="bottom"/>
            <w:hideMark/>
          </w:tcPr>
          <w:p w14:paraId="1C500F8A" w14:textId="48852DEF" w:rsidR="006159AF" w:rsidRPr="0031607E" w:rsidRDefault="00F8208C" w:rsidP="00941D52">
            <w:pPr>
              <w:jc w:val="center"/>
              <w:rPr>
                <w:sz w:val="18"/>
                <w:szCs w:val="18"/>
              </w:rPr>
            </w:pPr>
            <w:proofErr w:type="spellStart"/>
            <w:r w:rsidRPr="00F8208C">
              <w:rPr>
                <w:sz w:val="18"/>
                <w:szCs w:val="18"/>
              </w:rPr>
              <w:t>Waste</w:t>
            </w:r>
            <w:proofErr w:type="spellEnd"/>
          </w:p>
        </w:tc>
        <w:tc>
          <w:tcPr>
            <w:tcW w:w="711" w:type="dxa"/>
            <w:tcBorders>
              <w:top w:val="nil"/>
              <w:left w:val="nil"/>
              <w:bottom w:val="single" w:sz="4" w:space="0" w:color="auto"/>
              <w:right w:val="single" w:sz="4" w:space="0" w:color="auto"/>
            </w:tcBorders>
            <w:shd w:val="clear" w:color="auto" w:fill="auto"/>
            <w:noWrap/>
            <w:vAlign w:val="bottom"/>
            <w:hideMark/>
          </w:tcPr>
          <w:p w14:paraId="4670EBE9" w14:textId="77777777" w:rsidR="006159AF" w:rsidRPr="0031607E" w:rsidRDefault="006159AF" w:rsidP="00941D52">
            <w:pPr>
              <w:jc w:val="center"/>
              <w:rPr>
                <w:sz w:val="18"/>
                <w:szCs w:val="18"/>
              </w:rPr>
            </w:pPr>
            <w:r w:rsidRPr="0031607E">
              <w:rPr>
                <w:sz w:val="18"/>
                <w:szCs w:val="18"/>
              </w:rPr>
              <w:t>61,2</w:t>
            </w:r>
          </w:p>
        </w:tc>
        <w:tc>
          <w:tcPr>
            <w:tcW w:w="711" w:type="dxa"/>
            <w:tcBorders>
              <w:top w:val="nil"/>
              <w:left w:val="nil"/>
              <w:bottom w:val="single" w:sz="4" w:space="0" w:color="auto"/>
              <w:right w:val="single" w:sz="4" w:space="0" w:color="auto"/>
            </w:tcBorders>
            <w:shd w:val="clear" w:color="auto" w:fill="auto"/>
            <w:noWrap/>
            <w:vAlign w:val="bottom"/>
            <w:hideMark/>
          </w:tcPr>
          <w:p w14:paraId="75172E1F" w14:textId="77777777" w:rsidR="006159AF" w:rsidRPr="0031607E" w:rsidRDefault="006159AF" w:rsidP="00941D52">
            <w:pPr>
              <w:jc w:val="center"/>
              <w:rPr>
                <w:sz w:val="18"/>
                <w:szCs w:val="18"/>
              </w:rPr>
            </w:pPr>
            <w:r w:rsidRPr="0031607E">
              <w:rPr>
                <w:sz w:val="18"/>
                <w:szCs w:val="18"/>
              </w:rPr>
              <w:t>70,3</w:t>
            </w:r>
          </w:p>
        </w:tc>
        <w:tc>
          <w:tcPr>
            <w:tcW w:w="711" w:type="dxa"/>
            <w:tcBorders>
              <w:top w:val="nil"/>
              <w:left w:val="nil"/>
              <w:bottom w:val="single" w:sz="4" w:space="0" w:color="auto"/>
              <w:right w:val="single" w:sz="4" w:space="0" w:color="auto"/>
            </w:tcBorders>
            <w:shd w:val="clear" w:color="auto" w:fill="auto"/>
            <w:noWrap/>
            <w:vAlign w:val="bottom"/>
            <w:hideMark/>
          </w:tcPr>
          <w:p w14:paraId="15514B5B" w14:textId="77777777" w:rsidR="006159AF" w:rsidRPr="0031607E" w:rsidRDefault="006159AF" w:rsidP="00941D52">
            <w:pPr>
              <w:jc w:val="center"/>
              <w:rPr>
                <w:sz w:val="18"/>
                <w:szCs w:val="18"/>
              </w:rPr>
            </w:pPr>
            <w:r w:rsidRPr="0031607E">
              <w:rPr>
                <w:sz w:val="18"/>
                <w:szCs w:val="18"/>
              </w:rPr>
              <w:t>75,4</w:t>
            </w:r>
          </w:p>
        </w:tc>
        <w:tc>
          <w:tcPr>
            <w:tcW w:w="711" w:type="dxa"/>
            <w:tcBorders>
              <w:top w:val="nil"/>
              <w:left w:val="nil"/>
              <w:bottom w:val="single" w:sz="4" w:space="0" w:color="auto"/>
              <w:right w:val="single" w:sz="4" w:space="0" w:color="auto"/>
            </w:tcBorders>
            <w:shd w:val="clear" w:color="auto" w:fill="auto"/>
            <w:noWrap/>
            <w:vAlign w:val="bottom"/>
            <w:hideMark/>
          </w:tcPr>
          <w:p w14:paraId="6AC4B1B5" w14:textId="77777777" w:rsidR="006159AF" w:rsidRPr="0031607E" w:rsidRDefault="006159AF" w:rsidP="00941D52">
            <w:pPr>
              <w:jc w:val="center"/>
              <w:rPr>
                <w:sz w:val="18"/>
                <w:szCs w:val="18"/>
              </w:rPr>
            </w:pPr>
            <w:r w:rsidRPr="0031607E">
              <w:rPr>
                <w:sz w:val="18"/>
                <w:szCs w:val="18"/>
              </w:rPr>
              <w:t>77,8</w:t>
            </w:r>
          </w:p>
        </w:tc>
        <w:tc>
          <w:tcPr>
            <w:tcW w:w="711" w:type="dxa"/>
            <w:tcBorders>
              <w:top w:val="nil"/>
              <w:left w:val="nil"/>
              <w:bottom w:val="single" w:sz="4" w:space="0" w:color="auto"/>
              <w:right w:val="single" w:sz="4" w:space="0" w:color="auto"/>
            </w:tcBorders>
            <w:shd w:val="clear" w:color="auto" w:fill="auto"/>
            <w:noWrap/>
            <w:vAlign w:val="bottom"/>
            <w:hideMark/>
          </w:tcPr>
          <w:p w14:paraId="16E249D1" w14:textId="77777777" w:rsidR="006159AF" w:rsidRPr="0031607E" w:rsidRDefault="006159AF" w:rsidP="00941D52">
            <w:pPr>
              <w:jc w:val="center"/>
              <w:rPr>
                <w:sz w:val="18"/>
                <w:szCs w:val="18"/>
              </w:rPr>
            </w:pPr>
            <w:r w:rsidRPr="0031607E">
              <w:rPr>
                <w:sz w:val="18"/>
                <w:szCs w:val="18"/>
              </w:rPr>
              <w:t>81,1</w:t>
            </w:r>
          </w:p>
        </w:tc>
        <w:tc>
          <w:tcPr>
            <w:tcW w:w="711" w:type="dxa"/>
            <w:tcBorders>
              <w:top w:val="nil"/>
              <w:left w:val="nil"/>
              <w:bottom w:val="single" w:sz="4" w:space="0" w:color="auto"/>
              <w:right w:val="single" w:sz="4" w:space="0" w:color="auto"/>
            </w:tcBorders>
            <w:shd w:val="clear" w:color="auto" w:fill="auto"/>
            <w:noWrap/>
            <w:vAlign w:val="bottom"/>
            <w:hideMark/>
          </w:tcPr>
          <w:p w14:paraId="0236A155" w14:textId="77777777" w:rsidR="006159AF" w:rsidRPr="0031607E" w:rsidRDefault="006159AF" w:rsidP="00941D52">
            <w:pPr>
              <w:jc w:val="center"/>
              <w:rPr>
                <w:sz w:val="18"/>
                <w:szCs w:val="18"/>
              </w:rPr>
            </w:pPr>
            <w:r w:rsidRPr="0031607E">
              <w:rPr>
                <w:sz w:val="18"/>
                <w:szCs w:val="18"/>
              </w:rPr>
              <w:t>83,4</w:t>
            </w:r>
          </w:p>
        </w:tc>
        <w:tc>
          <w:tcPr>
            <w:tcW w:w="711" w:type="dxa"/>
            <w:tcBorders>
              <w:top w:val="nil"/>
              <w:left w:val="nil"/>
              <w:bottom w:val="single" w:sz="4" w:space="0" w:color="auto"/>
              <w:right w:val="single" w:sz="4" w:space="0" w:color="auto"/>
            </w:tcBorders>
            <w:shd w:val="clear" w:color="auto" w:fill="auto"/>
            <w:noWrap/>
            <w:vAlign w:val="bottom"/>
            <w:hideMark/>
          </w:tcPr>
          <w:p w14:paraId="04D7FB85" w14:textId="77777777" w:rsidR="006159AF" w:rsidRPr="0031607E" w:rsidRDefault="006159AF" w:rsidP="00941D52">
            <w:pPr>
              <w:jc w:val="center"/>
              <w:rPr>
                <w:sz w:val="18"/>
                <w:szCs w:val="18"/>
              </w:rPr>
            </w:pPr>
            <w:r w:rsidRPr="0031607E">
              <w:rPr>
                <w:sz w:val="18"/>
                <w:szCs w:val="18"/>
              </w:rPr>
              <w:t>85,5</w:t>
            </w:r>
          </w:p>
        </w:tc>
        <w:tc>
          <w:tcPr>
            <w:tcW w:w="711" w:type="dxa"/>
            <w:tcBorders>
              <w:top w:val="nil"/>
              <w:left w:val="nil"/>
              <w:bottom w:val="single" w:sz="4" w:space="0" w:color="auto"/>
              <w:right w:val="single" w:sz="4" w:space="0" w:color="auto"/>
            </w:tcBorders>
            <w:shd w:val="clear" w:color="auto" w:fill="auto"/>
            <w:noWrap/>
            <w:vAlign w:val="bottom"/>
            <w:hideMark/>
          </w:tcPr>
          <w:p w14:paraId="6CD8D54A" w14:textId="77777777" w:rsidR="006159AF" w:rsidRPr="0031607E" w:rsidRDefault="006159AF" w:rsidP="00941D52">
            <w:pPr>
              <w:jc w:val="center"/>
              <w:rPr>
                <w:sz w:val="18"/>
                <w:szCs w:val="18"/>
              </w:rPr>
            </w:pPr>
            <w:r w:rsidRPr="0031607E">
              <w:rPr>
                <w:sz w:val="18"/>
                <w:szCs w:val="18"/>
              </w:rPr>
              <w:t>87,5</w:t>
            </w:r>
          </w:p>
        </w:tc>
        <w:tc>
          <w:tcPr>
            <w:tcW w:w="711" w:type="dxa"/>
            <w:tcBorders>
              <w:top w:val="nil"/>
              <w:left w:val="nil"/>
              <w:bottom w:val="single" w:sz="4" w:space="0" w:color="auto"/>
              <w:right w:val="single" w:sz="4" w:space="0" w:color="auto"/>
            </w:tcBorders>
            <w:shd w:val="clear" w:color="auto" w:fill="auto"/>
            <w:noWrap/>
            <w:vAlign w:val="bottom"/>
            <w:hideMark/>
          </w:tcPr>
          <w:p w14:paraId="557B5CA7" w14:textId="77777777" w:rsidR="006159AF" w:rsidRPr="0031607E" w:rsidRDefault="006159AF" w:rsidP="00941D52">
            <w:pPr>
              <w:jc w:val="center"/>
              <w:rPr>
                <w:sz w:val="18"/>
                <w:szCs w:val="18"/>
              </w:rPr>
            </w:pPr>
            <w:r w:rsidRPr="0031607E">
              <w:rPr>
                <w:sz w:val="18"/>
                <w:szCs w:val="18"/>
              </w:rPr>
              <w:t>89,5</w:t>
            </w:r>
          </w:p>
        </w:tc>
        <w:tc>
          <w:tcPr>
            <w:tcW w:w="711" w:type="dxa"/>
            <w:tcBorders>
              <w:top w:val="nil"/>
              <w:left w:val="nil"/>
              <w:bottom w:val="single" w:sz="4" w:space="0" w:color="auto"/>
              <w:right w:val="single" w:sz="4" w:space="0" w:color="auto"/>
            </w:tcBorders>
            <w:shd w:val="clear" w:color="auto" w:fill="auto"/>
            <w:noWrap/>
            <w:vAlign w:val="bottom"/>
            <w:hideMark/>
          </w:tcPr>
          <w:p w14:paraId="789E490F" w14:textId="77777777" w:rsidR="006159AF" w:rsidRPr="0031607E" w:rsidRDefault="006159AF" w:rsidP="00941D52">
            <w:pPr>
              <w:jc w:val="center"/>
              <w:rPr>
                <w:sz w:val="18"/>
                <w:szCs w:val="18"/>
              </w:rPr>
            </w:pPr>
            <w:r w:rsidRPr="0031607E">
              <w:rPr>
                <w:sz w:val="18"/>
                <w:szCs w:val="18"/>
              </w:rPr>
              <w:t>91,4</w:t>
            </w:r>
          </w:p>
        </w:tc>
        <w:tc>
          <w:tcPr>
            <w:tcW w:w="711" w:type="dxa"/>
            <w:tcBorders>
              <w:top w:val="nil"/>
              <w:left w:val="nil"/>
              <w:bottom w:val="single" w:sz="4" w:space="0" w:color="auto"/>
              <w:right w:val="single" w:sz="4" w:space="0" w:color="auto"/>
            </w:tcBorders>
            <w:shd w:val="clear" w:color="auto" w:fill="auto"/>
            <w:noWrap/>
            <w:vAlign w:val="bottom"/>
            <w:hideMark/>
          </w:tcPr>
          <w:p w14:paraId="6B65AED8" w14:textId="77777777" w:rsidR="006159AF" w:rsidRPr="0031607E" w:rsidRDefault="006159AF" w:rsidP="00941D52">
            <w:pPr>
              <w:jc w:val="center"/>
              <w:rPr>
                <w:sz w:val="18"/>
                <w:szCs w:val="18"/>
              </w:rPr>
            </w:pPr>
            <w:r w:rsidRPr="0031607E">
              <w:rPr>
                <w:sz w:val="18"/>
                <w:szCs w:val="18"/>
              </w:rPr>
              <w:t>94,1</w:t>
            </w:r>
          </w:p>
        </w:tc>
        <w:tc>
          <w:tcPr>
            <w:tcW w:w="711" w:type="dxa"/>
            <w:tcBorders>
              <w:top w:val="nil"/>
              <w:left w:val="nil"/>
              <w:bottom w:val="single" w:sz="4" w:space="0" w:color="auto"/>
              <w:right w:val="single" w:sz="4" w:space="0" w:color="auto"/>
            </w:tcBorders>
            <w:shd w:val="clear" w:color="auto" w:fill="auto"/>
            <w:noWrap/>
            <w:vAlign w:val="bottom"/>
            <w:hideMark/>
          </w:tcPr>
          <w:p w14:paraId="36F191F9" w14:textId="77777777" w:rsidR="006159AF" w:rsidRPr="0031607E" w:rsidRDefault="006159AF" w:rsidP="00941D52">
            <w:pPr>
              <w:jc w:val="center"/>
              <w:rPr>
                <w:sz w:val="18"/>
                <w:szCs w:val="18"/>
              </w:rPr>
            </w:pPr>
            <w:r w:rsidRPr="0031607E">
              <w:rPr>
                <w:sz w:val="18"/>
                <w:szCs w:val="18"/>
              </w:rPr>
              <w:t>96,7</w:t>
            </w:r>
          </w:p>
        </w:tc>
      </w:tr>
    </w:tbl>
    <w:p w14:paraId="7975839B" w14:textId="77777777" w:rsidR="006159AF" w:rsidRDefault="006159AF" w:rsidP="006159AF">
      <w:pPr>
        <w:pStyle w:val="a3"/>
        <w:pBdr>
          <w:bottom w:val="single" w:sz="6" w:space="15" w:color="CCCCCC"/>
        </w:pBdr>
        <w:shd w:val="clear" w:color="auto" w:fill="FFFFFF"/>
        <w:spacing w:before="0" w:beforeAutospacing="0" w:after="0" w:afterAutospacing="0"/>
        <w:rPr>
          <w:color w:val="000000"/>
          <w:kern w:val="2"/>
          <w:sz w:val="28"/>
          <w:szCs w:val="22"/>
          <w:lang w:val="en-US"/>
          <w14:ligatures w14:val="standardContextual"/>
        </w:rPr>
      </w:pPr>
    </w:p>
    <w:p w14:paraId="4C4B2A42" w14:textId="6687A316" w:rsidR="00F008EF" w:rsidRPr="006159AF" w:rsidRDefault="006159AF" w:rsidP="00783472">
      <w:pPr>
        <w:pStyle w:val="a3"/>
        <w:pBdr>
          <w:bottom w:val="single" w:sz="6" w:space="15" w:color="CCCCCC"/>
        </w:pBdr>
        <w:shd w:val="clear" w:color="auto" w:fill="FFFFFF"/>
        <w:spacing w:before="0" w:beforeAutospacing="0" w:after="0" w:afterAutospacing="0" w:line="360" w:lineRule="auto"/>
        <w:jc w:val="both"/>
        <w:rPr>
          <w:color w:val="000000"/>
          <w:kern w:val="2"/>
          <w:sz w:val="28"/>
          <w:szCs w:val="22"/>
          <w:lang w:val="en-US"/>
          <w14:ligatures w14:val="standardContextual"/>
        </w:rPr>
      </w:pPr>
      <w:r w:rsidRPr="006159AF">
        <w:rPr>
          <w:color w:val="000000"/>
          <w:kern w:val="2"/>
          <w:sz w:val="28"/>
          <w:szCs w:val="22"/>
          <w:lang w:val="en-US"/>
          <w14:ligatures w14:val="standardContextual"/>
        </w:rPr>
        <w:t>Table 1. - Greenhouse Gas Emissions by Sector (million tons of CO2 equivalent per year)</w:t>
      </w:r>
      <w:r w:rsidRPr="006159AF">
        <w:rPr>
          <w:color w:val="000000"/>
          <w:kern w:val="2"/>
          <w:sz w:val="28"/>
          <w:szCs w:val="22"/>
          <w:lang w:val="en-US"/>
          <w14:ligatures w14:val="standardContextual"/>
        </w:rPr>
        <w:br/>
      </w:r>
      <w:r w:rsidRPr="006159AF">
        <w:rPr>
          <w:color w:val="000000"/>
          <w:kern w:val="2"/>
          <w:sz w:val="28"/>
          <w:szCs w:val="22"/>
          <w:lang w:val="en-US"/>
          <w14:ligatures w14:val="standardContextual"/>
        </w:rPr>
        <w:br/>
      </w:r>
      <w:r w:rsidR="00783472">
        <w:rPr>
          <w:color w:val="000000"/>
          <w:kern w:val="2"/>
          <w:sz w:val="28"/>
          <w:szCs w:val="22"/>
          <w:lang w:val="en-US"/>
          <w14:ligatures w14:val="standardContextual"/>
        </w:rPr>
        <w:lastRenderedPageBreak/>
        <w:t xml:space="preserve">     </w:t>
      </w:r>
      <w:r w:rsidRPr="006159AF">
        <w:rPr>
          <w:color w:val="000000"/>
          <w:kern w:val="2"/>
          <w:sz w:val="28"/>
          <w:szCs w:val="22"/>
          <w:lang w:val="en-US"/>
          <w14:ligatures w14:val="standardContextual"/>
        </w:rPr>
        <w:t xml:space="preserve">It should be noted that now the calculation of the carbon footprint within the ESG is calculated only at the first level, that is, not even affecting the transportation stage. This encourages the state to increase transparency and consistency in full ESG reporting. However, transparency and reliability of reporting can be weakened by subjectivism in the assessments. Therefore, regulators, that is, the states, must strive to develop unified standards and methodologies for assessing ESG indicators </w:t>
      </w:r>
      <w:proofErr w:type="gramStart"/>
      <w:r w:rsidRPr="006159AF">
        <w:rPr>
          <w:color w:val="000000"/>
          <w:kern w:val="2"/>
          <w:sz w:val="28"/>
          <w:szCs w:val="22"/>
          <w:lang w:val="en-US"/>
          <w14:ligatures w14:val="standardContextual"/>
        </w:rPr>
        <w:t>in order to</w:t>
      </w:r>
      <w:proofErr w:type="gramEnd"/>
      <w:r w:rsidRPr="006159AF">
        <w:rPr>
          <w:color w:val="000000"/>
          <w:kern w:val="2"/>
          <w:sz w:val="28"/>
          <w:szCs w:val="22"/>
          <w:lang w:val="en-US"/>
          <w14:ligatures w14:val="standardContextual"/>
        </w:rPr>
        <w:t xml:space="preserve"> reduce subjectivism and enhance trust in sustainability indicators. Modernizing legislation in the context of introducing additional levels of carbon footprint into the ESG coefficient would help improve the quality of ESG calculation.</w:t>
      </w:r>
      <w:r w:rsidRPr="006159AF">
        <w:rPr>
          <w:color w:val="000000"/>
          <w:kern w:val="2"/>
          <w:sz w:val="28"/>
          <w:szCs w:val="22"/>
          <w:lang w:val="en-US"/>
          <w14:ligatures w14:val="standardContextual"/>
        </w:rPr>
        <w:br/>
      </w:r>
      <w:r w:rsidRPr="006159AF">
        <w:rPr>
          <w:color w:val="000000"/>
          <w:kern w:val="2"/>
          <w:sz w:val="28"/>
          <w:szCs w:val="22"/>
          <w:lang w:val="en-US"/>
          <w14:ligatures w14:val="standardContextual"/>
        </w:rPr>
        <w:br/>
      </w:r>
      <w:r w:rsidR="00783472">
        <w:rPr>
          <w:color w:val="000000"/>
          <w:kern w:val="2"/>
          <w:sz w:val="28"/>
          <w:szCs w:val="22"/>
          <w:lang w:val="en-US"/>
          <w14:ligatures w14:val="standardContextual"/>
        </w:rPr>
        <w:t xml:space="preserve">    </w:t>
      </w:r>
      <w:r w:rsidRPr="006159AF">
        <w:rPr>
          <w:color w:val="000000"/>
          <w:kern w:val="2"/>
          <w:sz w:val="28"/>
          <w:szCs w:val="22"/>
          <w:lang w:val="en-US"/>
          <w14:ligatures w14:val="standardContextual"/>
        </w:rPr>
        <w:t>Thus, legal aspects are an important component of the ESG strategy. Many countries and international organizations implement legal mechanisms to promote and regulate ESG practices. These are both requirements for ESG reporting and sustainability and social responsibility standards, as well as sanctions for violating these standards. Companies that do not pay due attention to ESG factors may face legal risks such as lawsuits or fines for violating environmental or workers' rights legislation. On the other hand, companies that successfully integrate ESG practices may gain competitive advantages and benefits such as tax incentives or access to state financial grants.</w:t>
      </w:r>
      <w:r w:rsidRPr="006159AF">
        <w:rPr>
          <w:color w:val="000000"/>
          <w:kern w:val="2"/>
          <w:sz w:val="28"/>
          <w:szCs w:val="22"/>
          <w:lang w:val="en-US"/>
          <w14:ligatures w14:val="standardContextual"/>
        </w:rPr>
        <w:br/>
      </w:r>
      <w:r w:rsidRPr="006159AF">
        <w:rPr>
          <w:color w:val="000000"/>
          <w:kern w:val="2"/>
          <w:sz w:val="28"/>
          <w:szCs w:val="22"/>
          <w:lang w:val="en-US"/>
          <w14:ligatures w14:val="standardContextual"/>
        </w:rPr>
        <w:br/>
      </w:r>
      <w:r w:rsidR="00783472">
        <w:rPr>
          <w:color w:val="000000"/>
          <w:kern w:val="2"/>
          <w:sz w:val="28"/>
          <w:szCs w:val="22"/>
          <w:lang w:val="en-US"/>
          <w14:ligatures w14:val="standardContextual"/>
        </w:rPr>
        <w:t xml:space="preserve">     </w:t>
      </w:r>
      <w:r w:rsidRPr="006159AF">
        <w:rPr>
          <w:color w:val="000000"/>
          <w:kern w:val="2"/>
          <w:sz w:val="28"/>
          <w:szCs w:val="22"/>
          <w:lang w:val="en-US"/>
          <w14:ligatures w14:val="standardContextual"/>
        </w:rPr>
        <w:t xml:space="preserve">The ESG strategy becomes a necessity for businesses striving for sustainable development and wanting to maintain their profitability and competitiveness in a changing world. The integration of ESG practices allows companies to attract investments, increase their competitiveness and efficiency, and </w:t>
      </w:r>
      <w:proofErr w:type="gramStart"/>
      <w:r w:rsidRPr="006159AF">
        <w:rPr>
          <w:color w:val="000000"/>
          <w:kern w:val="2"/>
          <w:sz w:val="28"/>
          <w:szCs w:val="22"/>
          <w:lang w:val="en-US"/>
          <w14:ligatures w14:val="standardContextual"/>
        </w:rPr>
        <w:t>take into account</w:t>
      </w:r>
      <w:proofErr w:type="gramEnd"/>
      <w:r w:rsidRPr="006159AF">
        <w:rPr>
          <w:color w:val="000000"/>
          <w:kern w:val="2"/>
          <w:sz w:val="28"/>
          <w:szCs w:val="22"/>
          <w:lang w:val="en-US"/>
          <w14:ligatures w14:val="standardContextual"/>
        </w:rPr>
        <w:t xml:space="preserve"> social and environmental aspects in their activities. However, for the successful implementation of the ESG strategy, cooperation between companies, investors, regulators, and other stakeholders is necessary, as well as the development of unified standards and methodologies for assessing ESG indicators for systematized accounting.</w:t>
      </w:r>
    </w:p>
    <w:p w14:paraId="3D5537AA" w14:textId="77777777" w:rsidR="006159AF" w:rsidRDefault="006159AF">
      <w:pPr>
        <w:spacing w:after="20" w:line="259" w:lineRule="auto"/>
        <w:ind w:left="721"/>
        <w:jc w:val="center"/>
        <w:rPr>
          <w:b/>
          <w:lang w:val="en-US"/>
        </w:rPr>
      </w:pPr>
    </w:p>
    <w:p w14:paraId="416106B7" w14:textId="77777777" w:rsidR="006159AF" w:rsidRDefault="006159AF">
      <w:pPr>
        <w:spacing w:after="20" w:line="259" w:lineRule="auto"/>
        <w:ind w:left="721"/>
        <w:jc w:val="center"/>
        <w:rPr>
          <w:b/>
          <w:lang w:val="en-US"/>
        </w:rPr>
      </w:pPr>
    </w:p>
    <w:p w14:paraId="60865E92" w14:textId="0945447C" w:rsidR="0005357F" w:rsidRPr="00DA7CCE" w:rsidRDefault="00000000">
      <w:pPr>
        <w:spacing w:after="20" w:line="259" w:lineRule="auto"/>
        <w:ind w:left="721"/>
        <w:jc w:val="center"/>
        <w:rPr>
          <w:lang w:val="en-US"/>
        </w:rPr>
      </w:pPr>
      <w:r w:rsidRPr="00DA7CCE">
        <w:rPr>
          <w:b/>
          <w:lang w:val="en-US"/>
        </w:rPr>
        <w:lastRenderedPageBreak/>
        <w:t xml:space="preserve">REFERENCES </w:t>
      </w:r>
    </w:p>
    <w:p w14:paraId="60CA63D1" w14:textId="77777777" w:rsidR="006159AF" w:rsidRPr="0031607E" w:rsidRDefault="00000000" w:rsidP="006159AF">
      <w:pPr>
        <w:pStyle w:val="a5"/>
        <w:numPr>
          <w:ilvl w:val="0"/>
          <w:numId w:val="3"/>
        </w:numPr>
        <w:spacing w:line="360" w:lineRule="auto"/>
        <w:rPr>
          <w:rFonts w:ascii="Times New Roman" w:hAnsi="Times New Roman" w:cs="Times New Roman"/>
          <w:sz w:val="28"/>
          <w:szCs w:val="28"/>
        </w:rPr>
      </w:pPr>
      <w:r w:rsidRPr="006159AF">
        <w:t xml:space="preserve"> </w:t>
      </w:r>
      <w:proofErr w:type="spellStart"/>
      <w:r w:rsidR="006159AF" w:rsidRPr="0031607E">
        <w:rPr>
          <w:rFonts w:ascii="Times New Roman" w:hAnsi="Times New Roman" w:cs="Times New Roman"/>
          <w:sz w:val="28"/>
          <w:szCs w:val="28"/>
        </w:rPr>
        <w:t>Баторшина</w:t>
      </w:r>
      <w:proofErr w:type="spellEnd"/>
      <w:r w:rsidR="006159AF" w:rsidRPr="0031607E">
        <w:rPr>
          <w:rFonts w:ascii="Times New Roman" w:hAnsi="Times New Roman" w:cs="Times New Roman"/>
          <w:sz w:val="28"/>
          <w:szCs w:val="28"/>
        </w:rPr>
        <w:t xml:space="preserve">, Г.Д. ESG — стратегии российских компаний в современных условиях / Г.Д. </w:t>
      </w:r>
      <w:proofErr w:type="spellStart"/>
      <w:r w:rsidR="006159AF" w:rsidRPr="0031607E">
        <w:rPr>
          <w:rFonts w:ascii="Times New Roman" w:hAnsi="Times New Roman" w:cs="Times New Roman"/>
          <w:sz w:val="28"/>
          <w:szCs w:val="28"/>
        </w:rPr>
        <w:t>Баторшина</w:t>
      </w:r>
      <w:proofErr w:type="spellEnd"/>
      <w:r w:rsidR="006159AF" w:rsidRPr="0031607E">
        <w:rPr>
          <w:rFonts w:ascii="Times New Roman" w:hAnsi="Times New Roman" w:cs="Times New Roman"/>
          <w:sz w:val="28"/>
          <w:szCs w:val="28"/>
        </w:rPr>
        <w:t xml:space="preserve"> // Экономика образования. — 2022. — № 3(130). — С. 81–90. — EDN IMJHRY</w:t>
      </w:r>
    </w:p>
    <w:p w14:paraId="4F642CF4" w14:textId="77777777" w:rsidR="006159AF" w:rsidRPr="0031607E" w:rsidRDefault="006159AF" w:rsidP="006159AF">
      <w:pPr>
        <w:pStyle w:val="a5"/>
        <w:numPr>
          <w:ilvl w:val="0"/>
          <w:numId w:val="3"/>
        </w:numPr>
        <w:spacing w:line="360" w:lineRule="auto"/>
        <w:rPr>
          <w:rFonts w:ascii="Times New Roman" w:hAnsi="Times New Roman" w:cs="Times New Roman"/>
          <w:sz w:val="28"/>
          <w:szCs w:val="28"/>
        </w:rPr>
      </w:pPr>
      <w:r w:rsidRPr="0031607E">
        <w:rPr>
          <w:rFonts w:ascii="Times New Roman" w:hAnsi="Times New Roman" w:cs="Times New Roman"/>
          <w:sz w:val="28"/>
          <w:szCs w:val="28"/>
        </w:rPr>
        <w:t xml:space="preserve">Макаров </w:t>
      </w:r>
      <w:proofErr w:type="gramStart"/>
      <w:r w:rsidRPr="0031607E">
        <w:rPr>
          <w:rFonts w:ascii="Times New Roman" w:hAnsi="Times New Roman" w:cs="Times New Roman"/>
          <w:sz w:val="28"/>
          <w:szCs w:val="28"/>
        </w:rPr>
        <w:t>И.Н.</w:t>
      </w:r>
      <w:proofErr w:type="gramEnd"/>
      <w:r w:rsidRPr="0031607E">
        <w:rPr>
          <w:rFonts w:ascii="Times New Roman" w:hAnsi="Times New Roman" w:cs="Times New Roman"/>
          <w:sz w:val="28"/>
          <w:szCs w:val="28"/>
        </w:rPr>
        <w:t xml:space="preserve"> ESG повестка как фактор конкурентоспособности бизнеса и регионов в контексте устойчивого развития // У – 2021. - №24. – с. </w:t>
      </w:r>
      <w:proofErr w:type="gramStart"/>
      <w:r w:rsidRPr="0031607E">
        <w:rPr>
          <w:rFonts w:ascii="Times New Roman" w:hAnsi="Times New Roman" w:cs="Times New Roman"/>
          <w:sz w:val="28"/>
          <w:szCs w:val="28"/>
        </w:rPr>
        <w:t>26-37</w:t>
      </w:r>
      <w:proofErr w:type="gramEnd"/>
    </w:p>
    <w:p w14:paraId="511D7949" w14:textId="77777777" w:rsidR="006159AF" w:rsidRPr="0031607E" w:rsidRDefault="006159AF" w:rsidP="006159AF">
      <w:pPr>
        <w:pStyle w:val="a5"/>
        <w:numPr>
          <w:ilvl w:val="0"/>
          <w:numId w:val="3"/>
        </w:numPr>
        <w:spacing w:line="360" w:lineRule="auto"/>
        <w:rPr>
          <w:rFonts w:ascii="Times New Roman" w:hAnsi="Times New Roman" w:cs="Times New Roman"/>
          <w:sz w:val="28"/>
          <w:szCs w:val="28"/>
        </w:rPr>
      </w:pPr>
      <w:r w:rsidRPr="0031607E">
        <w:rPr>
          <w:rFonts w:ascii="Times New Roman" w:hAnsi="Times New Roman" w:cs="Times New Roman"/>
          <w:sz w:val="28"/>
          <w:szCs w:val="28"/>
        </w:rPr>
        <w:t xml:space="preserve">Ефимова </w:t>
      </w:r>
      <w:proofErr w:type="gramStart"/>
      <w:r w:rsidRPr="0031607E">
        <w:rPr>
          <w:rFonts w:ascii="Times New Roman" w:hAnsi="Times New Roman" w:cs="Times New Roman"/>
          <w:sz w:val="28"/>
          <w:szCs w:val="28"/>
        </w:rPr>
        <w:t>О.В.</w:t>
      </w:r>
      <w:proofErr w:type="gramEnd"/>
      <w:r w:rsidRPr="0031607E">
        <w:rPr>
          <w:rFonts w:ascii="Times New Roman" w:hAnsi="Times New Roman" w:cs="Times New Roman"/>
          <w:sz w:val="28"/>
          <w:szCs w:val="28"/>
        </w:rPr>
        <w:t xml:space="preserve">, Волков М.А., </w:t>
      </w:r>
      <w:proofErr w:type="spellStart"/>
      <w:r w:rsidRPr="0031607E">
        <w:rPr>
          <w:rFonts w:ascii="Times New Roman" w:hAnsi="Times New Roman" w:cs="Times New Roman"/>
          <w:sz w:val="28"/>
          <w:szCs w:val="28"/>
        </w:rPr>
        <w:t>Королёва</w:t>
      </w:r>
      <w:proofErr w:type="spellEnd"/>
      <w:r w:rsidRPr="0031607E">
        <w:rPr>
          <w:rFonts w:ascii="Times New Roman" w:hAnsi="Times New Roman" w:cs="Times New Roman"/>
          <w:sz w:val="28"/>
          <w:szCs w:val="28"/>
        </w:rPr>
        <w:t xml:space="preserve"> Д.А. Анализ влияния принципов E</w:t>
      </w:r>
      <w:r>
        <w:rPr>
          <w:rFonts w:ascii="Times New Roman" w:hAnsi="Times New Roman" w:cs="Times New Roman"/>
          <w:sz w:val="28"/>
          <w:szCs w:val="28"/>
          <w:lang w:val="en-US"/>
        </w:rPr>
        <w:t>S</w:t>
      </w:r>
      <w:r w:rsidRPr="0031607E">
        <w:rPr>
          <w:rFonts w:ascii="Times New Roman" w:hAnsi="Times New Roman" w:cs="Times New Roman"/>
          <w:sz w:val="28"/>
          <w:szCs w:val="28"/>
        </w:rPr>
        <w:t>G на доходность активов: эмпирическое исследование. Финансы: теория и практика. 2021;25(4):82–97. DOI: 10.26794/2587–5671–2021–25–</w:t>
      </w:r>
      <w:proofErr w:type="gramStart"/>
      <w:r w:rsidRPr="0031607E">
        <w:rPr>
          <w:rFonts w:ascii="Times New Roman" w:hAnsi="Times New Roman" w:cs="Times New Roman"/>
          <w:sz w:val="28"/>
          <w:szCs w:val="28"/>
        </w:rPr>
        <w:t>4– 82</w:t>
      </w:r>
      <w:proofErr w:type="gramEnd"/>
      <w:r w:rsidRPr="0031607E">
        <w:rPr>
          <w:rFonts w:ascii="Times New Roman" w:hAnsi="Times New Roman" w:cs="Times New Roman"/>
          <w:sz w:val="28"/>
          <w:szCs w:val="28"/>
        </w:rPr>
        <w:t>–97</w:t>
      </w:r>
    </w:p>
    <w:p w14:paraId="18B24A4F" w14:textId="72C2CDE4" w:rsidR="0005357F" w:rsidRDefault="0005357F" w:rsidP="006159AF">
      <w:pPr>
        <w:spacing w:after="54" w:line="259" w:lineRule="auto"/>
        <w:ind w:left="721" w:firstLine="0"/>
        <w:jc w:val="left"/>
      </w:pPr>
    </w:p>
    <w:p w14:paraId="0AD969EE" w14:textId="77777777" w:rsidR="0005357F" w:rsidRDefault="00000000">
      <w:pPr>
        <w:spacing w:after="0" w:line="259" w:lineRule="auto"/>
        <w:ind w:left="771" w:firstLine="0"/>
        <w:jc w:val="center"/>
      </w:pPr>
      <w:r>
        <w:rPr>
          <w:b/>
          <w:sz w:val="24"/>
        </w:rPr>
        <w:t xml:space="preserve"> </w:t>
      </w:r>
    </w:p>
    <w:sectPr w:rsidR="0005357F" w:rsidSect="004C5120">
      <w:pgSz w:w="11905" w:h="16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6BFD"/>
    <w:multiLevelType w:val="multilevel"/>
    <w:tmpl w:val="3BB2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F6A2B"/>
    <w:multiLevelType w:val="hybridMultilevel"/>
    <w:tmpl w:val="7296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386F2B"/>
    <w:multiLevelType w:val="hybridMultilevel"/>
    <w:tmpl w:val="32C074D6"/>
    <w:lvl w:ilvl="0" w:tplc="96B63A58">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F0F4E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54AA9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FE70DE">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10B3A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BEEC1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0ADEC0">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023194">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A83494">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798380471">
    <w:abstractNumId w:val="2"/>
  </w:num>
  <w:num w:numId="2" w16cid:durableId="1507209151">
    <w:abstractNumId w:val="0"/>
  </w:num>
  <w:num w:numId="3" w16cid:durableId="23286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7F"/>
    <w:rsid w:val="0005357F"/>
    <w:rsid w:val="003F4C91"/>
    <w:rsid w:val="004C5120"/>
    <w:rsid w:val="006159AF"/>
    <w:rsid w:val="00783472"/>
    <w:rsid w:val="00DA7CCE"/>
    <w:rsid w:val="00DB0100"/>
    <w:rsid w:val="00EF0430"/>
    <w:rsid w:val="00F008EF"/>
    <w:rsid w:val="00F82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E863"/>
  <w15:docId w15:val="{89F4551C-6C0A-4FD9-8B48-8D2827E7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7" w:line="360"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307"/>
      <w:outlineLvl w:val="0"/>
    </w:pPr>
    <w:rPr>
      <w:rFonts w:ascii="Times New Roman" w:eastAsia="Times New Roman" w:hAnsi="Times New Roman" w:cs="Times New Roman"/>
      <w:i/>
      <w:color w:val="000000"/>
      <w:sz w:val="32"/>
    </w:rPr>
  </w:style>
  <w:style w:type="paragraph" w:styleId="2">
    <w:name w:val="heading 2"/>
    <w:basedOn w:val="a"/>
    <w:next w:val="a"/>
    <w:link w:val="20"/>
    <w:uiPriority w:val="9"/>
    <w:semiHidden/>
    <w:unhideWhenUsed/>
    <w:qFormat/>
    <w:rsid w:val="00F008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i/>
      <w:color w:val="000000"/>
      <w:sz w:val="32"/>
    </w:rPr>
  </w:style>
  <w:style w:type="character" w:customStyle="1" w:styleId="20">
    <w:name w:val="Заголовок 2 Знак"/>
    <w:basedOn w:val="a0"/>
    <w:link w:val="2"/>
    <w:uiPriority w:val="9"/>
    <w:semiHidden/>
    <w:rsid w:val="00F008EF"/>
    <w:rPr>
      <w:rFonts w:asciiTheme="majorHAnsi" w:eastAsiaTheme="majorEastAsia" w:hAnsiTheme="majorHAnsi" w:cstheme="majorBidi"/>
      <w:color w:val="2F5496" w:themeColor="accent1" w:themeShade="BF"/>
      <w:sz w:val="26"/>
      <w:szCs w:val="26"/>
    </w:rPr>
  </w:style>
  <w:style w:type="paragraph" w:customStyle="1" w:styleId="stylemessagesxni">
    <w:name w:val="style_message___sxni"/>
    <w:basedOn w:val="a"/>
    <w:rsid w:val="00F008EF"/>
    <w:pPr>
      <w:spacing w:before="100" w:beforeAutospacing="1" w:after="100" w:afterAutospacing="1" w:line="240" w:lineRule="auto"/>
      <w:ind w:left="0" w:firstLine="0"/>
      <w:jc w:val="left"/>
    </w:pPr>
    <w:rPr>
      <w:color w:val="auto"/>
      <w:kern w:val="0"/>
      <w:sz w:val="24"/>
      <w:szCs w:val="24"/>
      <w14:ligatures w14:val="none"/>
    </w:rPr>
  </w:style>
  <w:style w:type="paragraph" w:styleId="a3">
    <w:name w:val="Normal (Web)"/>
    <w:basedOn w:val="a"/>
    <w:uiPriority w:val="99"/>
    <w:unhideWhenUsed/>
    <w:rsid w:val="00F008EF"/>
    <w:pPr>
      <w:spacing w:before="100" w:beforeAutospacing="1" w:after="100" w:afterAutospacing="1" w:line="240" w:lineRule="auto"/>
      <w:ind w:left="0" w:firstLine="0"/>
      <w:jc w:val="left"/>
    </w:pPr>
    <w:rPr>
      <w:color w:val="auto"/>
      <w:kern w:val="0"/>
      <w:sz w:val="24"/>
      <w:szCs w:val="24"/>
      <w14:ligatures w14:val="none"/>
    </w:rPr>
  </w:style>
  <w:style w:type="character" w:styleId="a4">
    <w:name w:val="Hyperlink"/>
    <w:basedOn w:val="a0"/>
    <w:uiPriority w:val="99"/>
    <w:semiHidden/>
    <w:unhideWhenUsed/>
    <w:rsid w:val="00F008EF"/>
    <w:rPr>
      <w:color w:val="0000FF"/>
      <w:u w:val="single"/>
    </w:rPr>
  </w:style>
  <w:style w:type="character" w:styleId="HTML">
    <w:name w:val="HTML Code"/>
    <w:basedOn w:val="a0"/>
    <w:uiPriority w:val="99"/>
    <w:semiHidden/>
    <w:unhideWhenUsed/>
    <w:rsid w:val="00F008EF"/>
    <w:rPr>
      <w:rFonts w:ascii="Courier New" w:eastAsia="Times New Roman" w:hAnsi="Courier New" w:cs="Courier New"/>
      <w:sz w:val="20"/>
      <w:szCs w:val="20"/>
    </w:rPr>
  </w:style>
  <w:style w:type="paragraph" w:styleId="a5">
    <w:name w:val="List Paragraph"/>
    <w:basedOn w:val="a"/>
    <w:uiPriority w:val="99"/>
    <w:qFormat/>
    <w:rsid w:val="006159AF"/>
    <w:pPr>
      <w:widowControl w:val="0"/>
      <w:spacing w:after="0" w:line="240" w:lineRule="auto"/>
      <w:ind w:left="720" w:firstLine="0"/>
      <w:contextualSpacing/>
      <w:jc w:val="left"/>
    </w:pPr>
    <w:rPr>
      <w:rFonts w:ascii="Liberation Serif" w:eastAsia="Liberation Serif" w:hAnsi="Liberation Serif" w:cs="Liberation Serif"/>
      <w:color w:val="00000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402804">
      <w:bodyDiv w:val="1"/>
      <w:marLeft w:val="0"/>
      <w:marRight w:val="0"/>
      <w:marTop w:val="0"/>
      <w:marBottom w:val="0"/>
      <w:divBdr>
        <w:top w:val="none" w:sz="0" w:space="0" w:color="auto"/>
        <w:left w:val="none" w:sz="0" w:space="0" w:color="auto"/>
        <w:bottom w:val="none" w:sz="0" w:space="0" w:color="auto"/>
        <w:right w:val="none" w:sz="0" w:space="0" w:color="auto"/>
      </w:divBdr>
      <w:divsChild>
        <w:div w:id="2106535667">
          <w:marLeft w:val="0"/>
          <w:marRight w:val="0"/>
          <w:marTop w:val="0"/>
          <w:marBottom w:val="0"/>
          <w:divBdr>
            <w:top w:val="none" w:sz="0" w:space="0" w:color="auto"/>
            <w:left w:val="none" w:sz="0" w:space="0" w:color="auto"/>
            <w:bottom w:val="none" w:sz="0" w:space="0" w:color="auto"/>
            <w:right w:val="none" w:sz="0" w:space="0" w:color="auto"/>
          </w:divBdr>
        </w:div>
        <w:div w:id="808325801">
          <w:marLeft w:val="0"/>
          <w:marRight w:val="0"/>
          <w:marTop w:val="0"/>
          <w:marBottom w:val="0"/>
          <w:divBdr>
            <w:top w:val="none" w:sz="0" w:space="0" w:color="auto"/>
            <w:left w:val="none" w:sz="0" w:space="0" w:color="auto"/>
            <w:bottom w:val="none" w:sz="0" w:space="0" w:color="auto"/>
            <w:right w:val="none" w:sz="0" w:space="0" w:color="auto"/>
          </w:divBdr>
        </w:div>
        <w:div w:id="2042197227">
          <w:marLeft w:val="0"/>
          <w:marRight w:val="0"/>
          <w:marTop w:val="0"/>
          <w:marBottom w:val="0"/>
          <w:divBdr>
            <w:top w:val="none" w:sz="0" w:space="0" w:color="auto"/>
            <w:left w:val="none" w:sz="0" w:space="0" w:color="auto"/>
            <w:bottom w:val="none" w:sz="0" w:space="0" w:color="auto"/>
            <w:right w:val="none" w:sz="0" w:space="0" w:color="auto"/>
          </w:divBdr>
        </w:div>
        <w:div w:id="1985504296">
          <w:marLeft w:val="0"/>
          <w:marRight w:val="0"/>
          <w:marTop w:val="0"/>
          <w:marBottom w:val="0"/>
          <w:divBdr>
            <w:top w:val="none" w:sz="0" w:space="0" w:color="auto"/>
            <w:left w:val="none" w:sz="0" w:space="0" w:color="auto"/>
            <w:bottom w:val="none" w:sz="0" w:space="0" w:color="auto"/>
            <w:right w:val="none" w:sz="0" w:space="0" w:color="auto"/>
          </w:divBdr>
        </w:div>
        <w:div w:id="1139107774">
          <w:marLeft w:val="0"/>
          <w:marRight w:val="0"/>
          <w:marTop w:val="0"/>
          <w:marBottom w:val="0"/>
          <w:divBdr>
            <w:top w:val="none" w:sz="0" w:space="0" w:color="auto"/>
            <w:left w:val="none" w:sz="0" w:space="0" w:color="auto"/>
            <w:bottom w:val="none" w:sz="0" w:space="0" w:color="auto"/>
            <w:right w:val="none" w:sz="0" w:space="0" w:color="auto"/>
          </w:divBdr>
          <w:divsChild>
            <w:div w:id="18206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1079</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cp:lastModifiedBy>Вита</cp:lastModifiedBy>
  <cp:revision>2</cp:revision>
  <dcterms:created xsi:type="dcterms:W3CDTF">2024-02-16T20:27:00Z</dcterms:created>
  <dcterms:modified xsi:type="dcterms:W3CDTF">2024-02-16T20:27:00Z</dcterms:modified>
</cp:coreProperties>
</file>