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713CD" w14:textId="7BF1958A" w:rsidR="00ED1188" w:rsidRPr="00B45DF7" w:rsidRDefault="00EE0BE7">
      <w:pPr>
        <w:ind w:left="397"/>
        <w:jc w:val="center"/>
        <w:rPr>
          <w:b/>
          <w:bCs/>
          <w:i/>
          <w:iCs/>
          <w:color w:val="FF0000"/>
        </w:rPr>
      </w:pPr>
      <w:r w:rsidRPr="00914745">
        <w:rPr>
          <w:b/>
          <w:bCs/>
          <w:color w:val="000000" w:themeColor="text1"/>
          <w:u w:color="222222"/>
        </w:rPr>
        <w:t xml:space="preserve">О некоторых особенностях </w:t>
      </w:r>
      <w:r w:rsidR="00B45DF7" w:rsidRPr="00914745">
        <w:rPr>
          <w:b/>
          <w:bCs/>
          <w:color w:val="000000" w:themeColor="text1"/>
          <w:u w:color="222222"/>
        </w:rPr>
        <w:t>стил</w:t>
      </w:r>
      <w:r w:rsidRPr="00914745">
        <w:rPr>
          <w:b/>
          <w:bCs/>
          <w:color w:val="000000" w:themeColor="text1"/>
          <w:u w:color="222222"/>
        </w:rPr>
        <w:t>я</w:t>
      </w:r>
      <w:r w:rsidR="00B45DF7" w:rsidRPr="00914745">
        <w:rPr>
          <w:b/>
          <w:bCs/>
          <w:color w:val="000000" w:themeColor="text1"/>
          <w:u w:color="222222"/>
        </w:rPr>
        <w:t xml:space="preserve"> автора-мужчины и автора-женщины (на примере роман</w:t>
      </w:r>
      <w:r w:rsidRPr="00914745">
        <w:rPr>
          <w:b/>
          <w:bCs/>
          <w:color w:val="000000" w:themeColor="text1"/>
          <w:u w:color="222222"/>
        </w:rPr>
        <w:t>ов</w:t>
      </w:r>
      <w:r w:rsidR="00B45DF7" w:rsidRPr="00914745">
        <w:rPr>
          <w:b/>
          <w:bCs/>
          <w:color w:val="000000" w:themeColor="text1"/>
          <w:u w:color="222222"/>
        </w:rPr>
        <w:t xml:space="preserve"> </w:t>
      </w:r>
      <w:r w:rsidRPr="00914745">
        <w:rPr>
          <w:b/>
          <w:bCs/>
          <w:color w:val="000000" w:themeColor="text1"/>
        </w:rPr>
        <w:t xml:space="preserve">«История Фарах» </w:t>
      </w:r>
      <w:r w:rsidR="00B45DF7" w:rsidRPr="00914745">
        <w:rPr>
          <w:b/>
          <w:bCs/>
          <w:color w:val="000000" w:themeColor="text1"/>
        </w:rPr>
        <w:t>‘Изз ад-Дина Шукри Фишера и «Я выросла, но забыла забыть»</w:t>
      </w:r>
      <w:r w:rsidRPr="00914745">
        <w:rPr>
          <w:b/>
          <w:bCs/>
          <w:color w:val="000000" w:themeColor="text1"/>
        </w:rPr>
        <w:t xml:space="preserve"> Бусайны ал-‘Иса</w:t>
      </w:r>
      <w:r w:rsidR="00B45DF7">
        <w:rPr>
          <w:b/>
          <w:bCs/>
          <w:color w:val="000000" w:themeColor="text1"/>
        </w:rPr>
        <w:t>)</w:t>
      </w:r>
    </w:p>
    <w:p w14:paraId="11DF8EAB" w14:textId="77777777" w:rsidR="00ED1188" w:rsidRDefault="00C0106E">
      <w:pPr>
        <w:ind w:left="39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Шарова Анна Александровна</w:t>
      </w:r>
    </w:p>
    <w:p w14:paraId="4870FEE0" w14:textId="77777777" w:rsidR="00ED1188" w:rsidRDefault="00C0106E">
      <w:pPr>
        <w:ind w:left="397"/>
        <w:jc w:val="center"/>
        <w:rPr>
          <w:i/>
          <w:iCs/>
        </w:rPr>
      </w:pPr>
      <w:r>
        <w:rPr>
          <w:i/>
          <w:iCs/>
        </w:rPr>
        <w:t xml:space="preserve">Студент, </w:t>
      </w:r>
      <w:r>
        <w:rPr>
          <w:i/>
          <w:iCs/>
          <w:rtl/>
          <w:lang w:val="ar-SA"/>
        </w:rPr>
        <w:t>4</w:t>
      </w:r>
      <w:r>
        <w:rPr>
          <w:i/>
          <w:iCs/>
        </w:rPr>
        <w:t xml:space="preserve"> курс бакалавриата</w:t>
      </w:r>
    </w:p>
    <w:p w14:paraId="31EEBF87" w14:textId="77777777" w:rsidR="00ED1188" w:rsidRDefault="00C0106E">
      <w:pPr>
        <w:ind w:left="397"/>
        <w:jc w:val="center"/>
        <w:rPr>
          <w:i/>
          <w:iCs/>
        </w:rPr>
      </w:pPr>
      <w:r>
        <w:rPr>
          <w:i/>
          <w:iCs/>
        </w:rPr>
        <w:t>Московский государственный университет имени М.В. Ломоносова,</w:t>
      </w:r>
    </w:p>
    <w:p w14:paraId="2F3663F4" w14:textId="77777777" w:rsidR="00ED1188" w:rsidRDefault="00C0106E">
      <w:pPr>
        <w:ind w:left="397"/>
        <w:jc w:val="center"/>
        <w:rPr>
          <w:i/>
          <w:iCs/>
        </w:rPr>
      </w:pPr>
      <w:r>
        <w:rPr>
          <w:i/>
          <w:iCs/>
        </w:rPr>
        <w:t>Институт стран Азии и Африки, Москва, Россия</w:t>
      </w:r>
    </w:p>
    <w:p w14:paraId="54A54D2C" w14:textId="77777777" w:rsidR="00ED1188" w:rsidRDefault="00C0106E">
      <w:pPr>
        <w:ind w:left="397"/>
        <w:jc w:val="center"/>
        <w:rPr>
          <w:i/>
          <w:iCs/>
        </w:rPr>
      </w:pPr>
      <w:r>
        <w:rPr>
          <w:i/>
          <w:iCs/>
          <w:lang w:val="en-US"/>
        </w:rPr>
        <w:t>E</w:t>
      </w:r>
      <w:r>
        <w:rPr>
          <w:i/>
          <w:iCs/>
        </w:rPr>
        <w:t>–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: </w:t>
      </w:r>
      <w:r>
        <w:rPr>
          <w:i/>
          <w:iCs/>
          <w:lang w:val="en-US"/>
        </w:rPr>
        <w:t>sharovaan</w:t>
      </w:r>
      <w:r>
        <w:rPr>
          <w:i/>
          <w:iCs/>
        </w:rPr>
        <w:t>18@</w:t>
      </w:r>
      <w:r>
        <w:rPr>
          <w:i/>
          <w:iCs/>
          <w:lang w:val="en-US"/>
        </w:rPr>
        <w:t>mail</w:t>
      </w:r>
      <w:r>
        <w:rPr>
          <w:i/>
          <w:iCs/>
        </w:rPr>
        <w:t>.</w:t>
      </w:r>
      <w:r>
        <w:rPr>
          <w:i/>
          <w:iCs/>
          <w:lang w:val="en-US"/>
        </w:rPr>
        <w:t>ru</w:t>
      </w:r>
      <w:bookmarkStart w:id="0" w:name="_GoBack"/>
      <w:bookmarkEnd w:id="0"/>
    </w:p>
    <w:p w14:paraId="648E8067" w14:textId="77777777" w:rsidR="00ED1188" w:rsidRDefault="00ED1188">
      <w:pPr>
        <w:pStyle w:val="a5"/>
        <w:ind w:left="397" w:firstLine="397"/>
        <w:jc w:val="both"/>
        <w:rPr>
          <w:i/>
          <w:iCs/>
        </w:rPr>
      </w:pPr>
    </w:p>
    <w:p w14:paraId="49E0CD14" w14:textId="3A74B705" w:rsidR="00ED1188" w:rsidRDefault="00C0106E" w:rsidP="00914745">
      <w:pPr>
        <w:pStyle w:val="a5"/>
        <w:ind w:left="397" w:firstLine="397"/>
        <w:jc w:val="both"/>
      </w:pPr>
      <w:r>
        <w:t xml:space="preserve">В последнее время в работах ближневосточных авторов все чаще фигурирует гендерная проблематика. Помимо социальных, экономических и политических вопросов писатели стараются привлечь внимание через свои произведения к женскому вопросу, </w:t>
      </w:r>
      <w:r w:rsidR="00914745">
        <w:t xml:space="preserve">решение </w:t>
      </w:r>
      <w:r>
        <w:t>к</w:t>
      </w:r>
      <w:r w:rsidR="00914745">
        <w:t>оторого</w:t>
      </w:r>
      <w:r>
        <w:t xml:space="preserve"> </w:t>
      </w:r>
      <w:r w:rsidR="00914745">
        <w:t>далеко от завершения</w:t>
      </w:r>
      <w:r>
        <w:t xml:space="preserve">. На первый план выходят такие проблемы, как изменение положения женщин в обществе, поиски самоидентичности в современном мире, взаимоотношения с противоположным полом и проблема поколений. </w:t>
      </w:r>
    </w:p>
    <w:p w14:paraId="5028540D" w14:textId="4A174887" w:rsidR="00ED1188" w:rsidRDefault="00C0106E" w:rsidP="00914745">
      <w:pPr>
        <w:pStyle w:val="a5"/>
        <w:ind w:left="397" w:firstLine="397"/>
        <w:jc w:val="both"/>
      </w:pPr>
      <w:r>
        <w:t>Одним из таких произведений является роман кувейтской писательницы Бусайны ал-‘Ис</w:t>
      </w:r>
      <w:r w:rsidR="00E75E3F" w:rsidRPr="00914745">
        <w:t>ы</w:t>
      </w:r>
      <w:r>
        <w:t xml:space="preserve"> «Я выросла, но забыла забыть» («</w:t>
      </w:r>
      <w:r>
        <w:rPr>
          <w:rFonts w:ascii="Arial Unicode MS" w:eastAsia="Arial Unicode MS" w:hAnsi="Arial Unicode MS" w:hint="cs"/>
          <w:rtl/>
          <w:lang w:val="ar-SA"/>
        </w:rPr>
        <w:t>كبرت ونسيت أن أنسى</w:t>
      </w:r>
      <w:r w:rsidRPr="00914745">
        <w:t>»/</w:t>
      </w:r>
      <w:r w:rsidR="00E75E3F" w:rsidRPr="00914745">
        <w:t xml:space="preserve"> </w:t>
      </w:r>
      <w:r w:rsidRPr="00914745">
        <w:t>«</w:t>
      </w:r>
      <w:r>
        <w:rPr>
          <w:lang w:val="fr-FR"/>
        </w:rPr>
        <w:t>Kabirtu</w:t>
      </w:r>
      <w:r w:rsidRPr="006828C3">
        <w:t xml:space="preserve"> </w:t>
      </w:r>
      <w:r>
        <w:rPr>
          <w:lang w:val="fr-FR"/>
        </w:rPr>
        <w:t>wa</w:t>
      </w:r>
      <w:r w:rsidRPr="006828C3">
        <w:t xml:space="preserve"> </w:t>
      </w:r>
      <w:r w:rsidR="00914745">
        <w:rPr>
          <w:lang w:val="fr-FR"/>
        </w:rPr>
        <w:t>nas</w:t>
      </w:r>
      <w:r w:rsidR="00914745" w:rsidRPr="00914745">
        <w:t>ī</w:t>
      </w:r>
      <w:r>
        <w:rPr>
          <w:lang w:val="fr-FR"/>
        </w:rPr>
        <w:t>tu</w:t>
      </w:r>
      <w:r w:rsidRPr="006828C3">
        <w:t xml:space="preserve"> </w:t>
      </w:r>
      <w:r w:rsidR="00E75E3F">
        <w:rPr>
          <w:lang w:val="en-US"/>
        </w:rPr>
        <w:t>a</w:t>
      </w:r>
      <w:r>
        <w:rPr>
          <w:lang w:val="fr-FR"/>
        </w:rPr>
        <w:t>n</w:t>
      </w:r>
      <w:r w:rsidRPr="006828C3">
        <w:t xml:space="preserve"> </w:t>
      </w:r>
      <w:r>
        <w:rPr>
          <w:lang w:val="fr-FR"/>
        </w:rPr>
        <w:t>ans</w:t>
      </w:r>
      <w:r w:rsidRPr="006828C3">
        <w:t>ā</w:t>
      </w:r>
      <w:r w:rsidR="00316B08">
        <w:t>»), опубликованный в 2013 г</w:t>
      </w:r>
      <w:r>
        <w:t xml:space="preserve">. Это проникновенная история о взрослении девушки Фатимы, которая рано потеряла родителей и была вынуждена переехать в дом своего старшего брата Сакра. На протяжении семи лет она живет в </w:t>
      </w:r>
      <w:r w:rsidR="00914745">
        <w:rPr>
          <w:lang w:bidi="ar-AE"/>
        </w:rPr>
        <w:t xml:space="preserve">угнетении и </w:t>
      </w:r>
      <w:r>
        <w:t xml:space="preserve">постоянном </w:t>
      </w:r>
      <w:r w:rsidR="00914745">
        <w:t>давлении</w:t>
      </w:r>
      <w:r>
        <w:t>, ведь Сакр делает всё возможное для того, чтобы разрушить её личность. Благодаря художественному приему</w:t>
      </w:r>
      <w:r w:rsidR="00914745">
        <w:t xml:space="preserve"> </w:t>
      </w:r>
      <w:r w:rsidR="00914745">
        <w:t>«поток</w:t>
      </w:r>
      <w:r w:rsidR="00914745">
        <w:t>у</w:t>
      </w:r>
      <w:r w:rsidR="00914745">
        <w:t xml:space="preserve"> сознания»</w:t>
      </w:r>
      <w:r>
        <w:t xml:space="preserve">, который использует Бусайна ал-‘Иса в </w:t>
      </w:r>
      <w:r w:rsidR="006828C3">
        <w:t>своем</w:t>
      </w:r>
      <w:r w:rsidR="00316B08" w:rsidRPr="00914745">
        <w:t xml:space="preserve"> </w:t>
      </w:r>
      <w:r w:rsidR="006828C3">
        <w:t>п</w:t>
      </w:r>
      <w:r>
        <w:t>роизведении</w:t>
      </w:r>
      <w:r w:rsidR="00914745">
        <w:t xml:space="preserve">, </w:t>
      </w:r>
      <w:r>
        <w:t xml:space="preserve">читатель вместе с главной героиней переживает все трудности и лишения, с которыми сталкивается девушка с юных лет. </w:t>
      </w:r>
    </w:p>
    <w:p w14:paraId="362D641E" w14:textId="3CEF999B" w:rsidR="00ED1188" w:rsidRDefault="00C0106E" w:rsidP="00316B08">
      <w:pPr>
        <w:pStyle w:val="a5"/>
        <w:ind w:left="397" w:firstLine="397"/>
        <w:jc w:val="both"/>
      </w:pPr>
      <w:r>
        <w:t xml:space="preserve">Примечательно, что не только авторы-женщины затрагивают гендерную проблематику, но и авторы-мужчины в своих работах повествуют о судьбах женщин. Так, например, в 2021 г. </w:t>
      </w:r>
      <w:r w:rsidR="00316B08">
        <w:t>вышел роман египетского писателя</w:t>
      </w:r>
      <w:r>
        <w:t xml:space="preserve"> ‘Изз ад-Дин</w:t>
      </w:r>
      <w:r w:rsidR="00316B08">
        <w:t>а</w:t>
      </w:r>
      <w:r>
        <w:t xml:space="preserve"> Шукри Фишер</w:t>
      </w:r>
      <w:r w:rsidR="00316B08">
        <w:t>а</w:t>
      </w:r>
      <w:r>
        <w:t xml:space="preserve"> «История Фарах» («</w:t>
      </w:r>
      <w:r>
        <w:rPr>
          <w:rFonts w:ascii="Arial Unicode MS" w:eastAsia="Arial Unicode MS" w:hAnsi="Arial Unicode MS" w:hint="cs"/>
          <w:rtl/>
          <w:lang w:val="ar-SA"/>
        </w:rPr>
        <w:t>حكاية فرح</w:t>
      </w:r>
      <w:r w:rsidRPr="00914745">
        <w:t>»/</w:t>
      </w:r>
      <w:r w:rsidR="00E75E3F" w:rsidRPr="00914745">
        <w:t xml:space="preserve"> </w:t>
      </w:r>
      <w:r w:rsidRPr="00914745">
        <w:t>«</w:t>
      </w:r>
      <w:r>
        <w:rPr>
          <w:lang w:val="en-US"/>
        </w:rPr>
        <w:t>Ḥik</w:t>
      </w:r>
      <w:r>
        <w:t>ā</w:t>
      </w:r>
      <w:r>
        <w:rPr>
          <w:lang w:val="en-US"/>
        </w:rPr>
        <w:t>yat</w:t>
      </w:r>
      <w:r>
        <w:t xml:space="preserve"> </w:t>
      </w:r>
      <w:r w:rsidR="00E75E3F" w:rsidRPr="00914745">
        <w:rPr>
          <w:lang w:val="en-US"/>
        </w:rPr>
        <w:t>F</w:t>
      </w:r>
      <w:r>
        <w:rPr>
          <w:lang w:val="en-US"/>
        </w:rPr>
        <w:t>ara</w:t>
      </w:r>
      <w:r w:rsidR="00E75E3F" w:rsidRPr="00914745">
        <w:rPr>
          <w:lang w:val="en-US"/>
        </w:rPr>
        <w:t>ḥ</w:t>
      </w:r>
      <w:r>
        <w:t>»)</w:t>
      </w:r>
      <w:r>
        <w:rPr>
          <w:sz w:val="28"/>
          <w:szCs w:val="28"/>
        </w:rPr>
        <w:t xml:space="preserve">, </w:t>
      </w:r>
      <w:r>
        <w:t xml:space="preserve">в котором </w:t>
      </w:r>
      <w:r w:rsidR="00316B08">
        <w:t xml:space="preserve">автор </w:t>
      </w:r>
      <w:r>
        <w:t>подробно описал, с какими трудностями сталкиваются женщины на разных этапах своей жизни на пути к счастливому будущему. В 2022 г. роман был включён в лонг-лист «Арабского букера», одной из самых престижных литературных премий в арабском мире. «История Фарах»</w:t>
      </w:r>
      <w:r w:rsidR="00316B08">
        <w:t xml:space="preserve"> </w:t>
      </w:r>
      <w:r>
        <w:t>– это история о трех поколениях женщин, которые пытаются добиться успеха, найти свое счастье и свое истинное «я» среди всей несправедливости и жестокости этого мира.</w:t>
      </w:r>
    </w:p>
    <w:p w14:paraId="50D4CFF2" w14:textId="77777777" w:rsidR="006828C3" w:rsidRDefault="00C0106E" w:rsidP="006828C3">
      <w:pPr>
        <w:pStyle w:val="a5"/>
        <w:ind w:left="397" w:firstLine="397"/>
        <w:jc w:val="both"/>
      </w:pPr>
      <w:r>
        <w:t xml:space="preserve">Художественный стиль авторов-женщин и авторов-мужчин различается и демонстрирует разнообразие подходов к освещению гендерной проблематики. Индивидуальные особенности каждого писателя играют ключевую роль в </w:t>
      </w:r>
      <w:r w:rsidR="006828C3">
        <w:t xml:space="preserve">его </w:t>
      </w:r>
      <w:r>
        <w:t xml:space="preserve">формировании, однако </w:t>
      </w:r>
      <w:r w:rsidR="006828C3">
        <w:t xml:space="preserve">можно </w:t>
      </w:r>
      <w:r>
        <w:t>выдел</w:t>
      </w:r>
      <w:r w:rsidR="006828C3">
        <w:t xml:space="preserve">ить некоторые наиболее ярко выраженные отличительные черты стиля автора-женщины и автора-мужчины. </w:t>
      </w:r>
    </w:p>
    <w:p w14:paraId="0666B43C" w14:textId="103B5FBF" w:rsidR="00ED1188" w:rsidRDefault="00C0106E" w:rsidP="006828C3">
      <w:pPr>
        <w:pStyle w:val="a5"/>
        <w:ind w:left="397" w:firstLine="397"/>
        <w:jc w:val="both"/>
      </w:pPr>
      <w:r>
        <w:t xml:space="preserve">Женщины в своих произведениях часто уделяют больше внимания эмоциональным аспектам, глубоко погружаясь во внутренний мир персонажей и подчеркивая межличностные отношения. Это может проявляться в описании чувств, эмоций и мотиваций героев. С другой стороны, мужчины </w:t>
      </w:r>
      <w:r w:rsidR="006828C3" w:rsidRPr="006828C3">
        <w:rPr>
          <w:color w:val="000000" w:themeColor="text1"/>
        </w:rPr>
        <w:t>чаще</w:t>
      </w:r>
      <w:r w:rsidRPr="006828C3">
        <w:rPr>
          <w:color w:val="000000" w:themeColor="text1"/>
        </w:rPr>
        <w:t xml:space="preserve"> уделя</w:t>
      </w:r>
      <w:r w:rsidR="006828C3" w:rsidRPr="006828C3">
        <w:rPr>
          <w:color w:val="000000" w:themeColor="text1"/>
        </w:rPr>
        <w:t>ют</w:t>
      </w:r>
      <w:r w:rsidRPr="006828C3">
        <w:rPr>
          <w:color w:val="000000" w:themeColor="text1"/>
        </w:rPr>
        <w:t xml:space="preserve"> внимани</w:t>
      </w:r>
      <w:r w:rsidR="006828C3" w:rsidRPr="006828C3">
        <w:rPr>
          <w:color w:val="000000" w:themeColor="text1"/>
        </w:rPr>
        <w:t>е</w:t>
      </w:r>
      <w:r w:rsidRPr="006828C3">
        <w:rPr>
          <w:color w:val="000000" w:themeColor="text1"/>
        </w:rPr>
        <w:t xml:space="preserve"> </w:t>
      </w:r>
      <w:r>
        <w:t>сюжетной линии, динамике действия и внешним событиям. Они часто строят сложные сюжеты, акцентируя внимание на развитии сюжетных событий и влиянии внешних факторов на героев. Важно отметить, что многое зависит от конкретного автора. Индивидуальные стили могут переплетаться, и существуют исключения, поэтому важно оценивать каждое произведение в контексте его уникальных характеристик.</w:t>
      </w:r>
    </w:p>
    <w:p w14:paraId="2D1D1367" w14:textId="70EEF4F1" w:rsidR="00ED1188" w:rsidRDefault="00C0106E" w:rsidP="00C0106E">
      <w:pPr>
        <w:pStyle w:val="a5"/>
        <w:ind w:left="397" w:firstLine="397"/>
        <w:jc w:val="both"/>
      </w:pPr>
      <w:r w:rsidRPr="00914745">
        <w:t>Цель моего доклада</w:t>
      </w:r>
      <w:r w:rsidRPr="00914745">
        <w:rPr>
          <w:rStyle w:val="a9"/>
          <w:rFonts w:eastAsia="Arial Unicode MS" w:cs="Arial Unicode MS"/>
        </w:rPr>
        <w:t xml:space="preserve"> </w:t>
      </w:r>
      <w:r w:rsidRPr="00914745">
        <w:t xml:space="preserve">заключается в выявлении сходств и различий между художественным стилем автора-женщины и автора-мужчины на примере отрывков из </w:t>
      </w:r>
      <w:r w:rsidRPr="00914745">
        <w:lastRenderedPageBreak/>
        <w:t>романа Бусайны ал-‘Иса «Я выросла, но забыла забыть» и романа ‘Изз ад-Дина Шукри Фишера «История Фарах»</w:t>
      </w:r>
      <w:r w:rsidR="00E75E3F" w:rsidRPr="00914745">
        <w:rPr>
          <w:lang w:bidi="ar-LB"/>
        </w:rPr>
        <w:t>, а также в</w:t>
      </w:r>
      <w:r w:rsidRPr="00914745">
        <w:t xml:space="preserve"> анализе стилистических особенностей этих произведений.</w:t>
      </w:r>
    </w:p>
    <w:p w14:paraId="4F7E1356" w14:textId="77777777" w:rsidR="00ED1188" w:rsidRDefault="00C0106E">
      <w:pPr>
        <w:pStyle w:val="a5"/>
        <w:ind w:left="3540" w:firstLine="397"/>
      </w:pPr>
      <w:r>
        <w:t>Библиография</w:t>
      </w:r>
    </w:p>
    <w:p w14:paraId="32B89792" w14:textId="77777777" w:rsidR="00ED1188" w:rsidRDefault="00C0106E">
      <w:pPr>
        <w:jc w:val="center"/>
      </w:pPr>
      <w:r>
        <w:t>Источники</w:t>
      </w:r>
    </w:p>
    <w:p w14:paraId="6E9B80E5" w14:textId="77777777" w:rsidR="00ED1188" w:rsidRDefault="00ED1188">
      <w:pPr>
        <w:jc w:val="center"/>
      </w:pPr>
    </w:p>
    <w:p w14:paraId="24EDFB6E" w14:textId="3497F7BC" w:rsidR="00B45DF7" w:rsidRPr="00B45DF7" w:rsidRDefault="00B45DF7" w:rsidP="00B45DF7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‘Izz ad-</w:t>
      </w:r>
      <w:r w:rsidRPr="00914745">
        <w:rPr>
          <w:lang w:val="en-US"/>
        </w:rPr>
        <w:t>D</w:t>
      </w:r>
      <w:r w:rsidR="007E4EA4" w:rsidRPr="00914745">
        <w:rPr>
          <w:lang w:val="en-US"/>
        </w:rPr>
        <w:t>ī</w:t>
      </w:r>
      <w:r w:rsidRPr="00914745">
        <w:rPr>
          <w:lang w:val="en-US"/>
        </w:rPr>
        <w:t>n</w:t>
      </w:r>
      <w:r>
        <w:rPr>
          <w:lang w:val="en-US"/>
        </w:rPr>
        <w:t xml:space="preserve"> Shukrī </w:t>
      </w:r>
      <w:r w:rsidRPr="00914745">
        <w:rPr>
          <w:lang w:val="en-US"/>
        </w:rPr>
        <w:t>F</w:t>
      </w:r>
      <w:r w:rsidR="007E4EA4" w:rsidRPr="00914745">
        <w:rPr>
          <w:lang w:val="en-US"/>
        </w:rPr>
        <w:t>ī</w:t>
      </w:r>
      <w:r w:rsidRPr="00914745">
        <w:rPr>
          <w:lang w:val="en-US"/>
        </w:rPr>
        <w:t>shr.</w:t>
      </w:r>
      <w:r>
        <w:rPr>
          <w:lang w:val="en-US"/>
        </w:rPr>
        <w:t xml:space="preserve"> </w:t>
      </w:r>
      <w:r w:rsidRPr="00914745">
        <w:rPr>
          <w:lang w:val="en-US"/>
        </w:rPr>
        <w:t>Ḥikāyat</w:t>
      </w:r>
      <w:r>
        <w:rPr>
          <w:lang w:val="en-US"/>
        </w:rPr>
        <w:t xml:space="preserve"> </w:t>
      </w:r>
      <w:r w:rsidR="007E4EA4" w:rsidRPr="00914745">
        <w:rPr>
          <w:lang w:val="en-US"/>
        </w:rPr>
        <w:t>F</w:t>
      </w:r>
      <w:r>
        <w:rPr>
          <w:lang w:val="en-US"/>
        </w:rPr>
        <w:t>araḥ. Al-Qāhira: Dār ash-shurūq, 202</w:t>
      </w:r>
      <w:r w:rsidRPr="00914745">
        <w:rPr>
          <w:lang w:val="en-US"/>
        </w:rPr>
        <w:t>1</w:t>
      </w:r>
      <w:r w:rsidR="007E4EA4" w:rsidRPr="00914745">
        <w:rPr>
          <w:lang w:val="en-US"/>
        </w:rPr>
        <w:t>.</w:t>
      </w:r>
    </w:p>
    <w:p w14:paraId="4B6F6B54" w14:textId="713A1AC4" w:rsidR="006828C3" w:rsidRDefault="006828C3">
      <w:pPr>
        <w:pStyle w:val="a5"/>
        <w:numPr>
          <w:ilvl w:val="0"/>
          <w:numId w:val="2"/>
        </w:numPr>
        <w:rPr>
          <w:lang w:val="en-US"/>
        </w:rPr>
      </w:pPr>
      <w:r w:rsidRPr="006828C3">
        <w:rPr>
          <w:lang w:val="en-US"/>
        </w:rPr>
        <w:t>Buthayna al-‘Īsa. Kabirtu wa nasītu an ansā.</w:t>
      </w:r>
      <w:r w:rsidR="00374006">
        <w:rPr>
          <w:lang w:val="en-US"/>
        </w:rPr>
        <w:t xml:space="preserve"> B</w:t>
      </w:r>
      <w:r w:rsidR="007E4EA4" w:rsidRPr="00914745">
        <w:rPr>
          <w:lang w:val="en-US"/>
        </w:rPr>
        <w:t>e</w:t>
      </w:r>
      <w:r w:rsidR="00374006">
        <w:rPr>
          <w:lang w:val="en-US"/>
        </w:rPr>
        <w:t>yrūt</w:t>
      </w:r>
      <w:r w:rsidR="00374006" w:rsidRPr="00F7300B">
        <w:rPr>
          <w:lang w:val="en-US"/>
        </w:rPr>
        <w:t>:</w:t>
      </w:r>
      <w:r w:rsidR="00374006">
        <w:rPr>
          <w:rFonts w:hint="cs"/>
          <w:rtl/>
          <w:lang w:val="en-US"/>
        </w:rPr>
        <w:t xml:space="preserve"> </w:t>
      </w:r>
      <w:r w:rsidR="00374006">
        <w:rPr>
          <w:lang w:val="en-US"/>
        </w:rPr>
        <w:t>Ad-dār al-‘arabīyā li</w:t>
      </w:r>
      <w:r w:rsidR="003B4F64" w:rsidRPr="00914745">
        <w:rPr>
          <w:lang w:val="en-US"/>
        </w:rPr>
        <w:t>-</w:t>
      </w:r>
      <w:r w:rsidR="00374006" w:rsidRPr="00914745">
        <w:rPr>
          <w:lang w:val="en-US"/>
        </w:rPr>
        <w:t>l</w:t>
      </w:r>
      <w:r w:rsidR="00374006">
        <w:rPr>
          <w:lang w:val="en-US"/>
        </w:rPr>
        <w:t>-‘ulūm nāshirūn</w:t>
      </w:r>
      <w:r w:rsidR="00F7300B">
        <w:rPr>
          <w:lang w:val="en-US"/>
        </w:rPr>
        <w:t>, 2013</w:t>
      </w:r>
      <w:r w:rsidR="007E4EA4" w:rsidRPr="00914745">
        <w:rPr>
          <w:lang w:val="en-US"/>
        </w:rPr>
        <w:t>.</w:t>
      </w:r>
    </w:p>
    <w:p w14:paraId="267F864D" w14:textId="77777777" w:rsidR="00ED1188" w:rsidRDefault="00ED1188" w:rsidP="007E4EA4">
      <w:pPr>
        <w:rPr>
          <w:lang w:val="en-US"/>
        </w:rPr>
      </w:pPr>
    </w:p>
    <w:p w14:paraId="054FF7F7" w14:textId="77777777" w:rsidR="00ED1188" w:rsidRDefault="00C0106E" w:rsidP="007E4EA4">
      <w:pPr>
        <w:pStyle w:val="a6"/>
        <w:ind w:left="0"/>
        <w:jc w:val="center"/>
      </w:pPr>
      <w:r>
        <w:t>Исследования</w:t>
      </w:r>
    </w:p>
    <w:p w14:paraId="5C2464E8" w14:textId="77777777" w:rsidR="00ED1188" w:rsidRDefault="00C0106E">
      <w:pPr>
        <w:pStyle w:val="a6"/>
        <w:numPr>
          <w:ilvl w:val="0"/>
          <w:numId w:val="2"/>
        </w:numPr>
        <w:spacing w:line="276" w:lineRule="auto"/>
      </w:pPr>
      <w:r>
        <w:t xml:space="preserve">Есин А.Б. Психологизм русской классической литературы: Учебное пособие // ФЛИНТА, НОУ ВПО «МПСИ», 2011 г. – 216 с. </w:t>
      </w:r>
    </w:p>
    <w:p w14:paraId="225F5B3B" w14:textId="5D21C8B6" w:rsidR="00F7300B" w:rsidRPr="00F7300B" w:rsidRDefault="00F7300B" w:rsidP="00F7300B">
      <w:pPr>
        <w:pStyle w:val="a6"/>
        <w:numPr>
          <w:ilvl w:val="0"/>
          <w:numId w:val="2"/>
        </w:numPr>
        <w:spacing w:line="276" w:lineRule="auto"/>
      </w:pPr>
      <w:r>
        <w:t xml:space="preserve">Лотман Ю.М. Структура художественного текста // </w:t>
      </w:r>
      <w:r w:rsidRPr="00F7300B">
        <w:t>М.: «Искусство». 1970</w:t>
      </w:r>
      <w:r>
        <w:t xml:space="preserve"> г</w:t>
      </w:r>
      <w:r w:rsidRPr="00F7300B">
        <w:t>. 384 с. («Семиотические исследования по теории искусства»)</w:t>
      </w:r>
    </w:p>
    <w:p w14:paraId="18C9A3C9" w14:textId="3F3BA779" w:rsidR="00F7300B" w:rsidRDefault="00F7300B" w:rsidP="00F7300B">
      <w:pPr>
        <w:pStyle w:val="a6"/>
        <w:spacing w:line="276" w:lineRule="auto"/>
        <w:ind w:left="928"/>
      </w:pPr>
    </w:p>
    <w:p w14:paraId="121AFBFE" w14:textId="44701713" w:rsidR="00ED1188" w:rsidRDefault="00ED1188" w:rsidP="00C0106E">
      <w:pPr>
        <w:pStyle w:val="a6"/>
        <w:spacing w:line="360" w:lineRule="auto"/>
        <w:ind w:left="928"/>
      </w:pPr>
    </w:p>
    <w:sectPr w:rsidR="00ED118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361" w:bottom="1134" w:left="1361" w:header="709" w:footer="709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C5A441" w16cex:dateUtc="2024-02-16T14:52:00Z"/>
  <w16cex:commentExtensible w16cex:durableId="71F14F38" w16cex:dateUtc="2024-02-15T00:05:00Z"/>
  <w16cex:commentExtensible w16cex:durableId="1CE3506F" w16cex:dateUtc="2024-02-16T14:56:00Z"/>
  <w16cex:commentExtensible w16cex:durableId="614655D1" w16cex:dateUtc="2024-02-16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02BA5A" w16cid:durableId="3CC5A441"/>
  <w16cid:commentId w16cid:paraId="0260428E" w16cid:durableId="71F14F38"/>
  <w16cid:commentId w16cid:paraId="578C09F0" w16cid:durableId="1CE3506F"/>
  <w16cid:commentId w16cid:paraId="4E4D5B5B" w16cid:durableId="614655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4E6B" w14:textId="77777777" w:rsidR="00A14CD1" w:rsidRDefault="00A14CD1">
      <w:r>
        <w:separator/>
      </w:r>
    </w:p>
  </w:endnote>
  <w:endnote w:type="continuationSeparator" w:id="0">
    <w:p w14:paraId="186DA4AB" w14:textId="77777777" w:rsidR="00A14CD1" w:rsidRDefault="00A1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C0138" w14:textId="77777777" w:rsidR="00316B08" w:rsidRDefault="00316B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2A99" w14:textId="77777777" w:rsidR="00316B08" w:rsidRDefault="00316B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F6BB2" w14:textId="77777777" w:rsidR="00A14CD1" w:rsidRDefault="00A14CD1">
      <w:r>
        <w:separator/>
      </w:r>
    </w:p>
  </w:footnote>
  <w:footnote w:type="continuationSeparator" w:id="0">
    <w:p w14:paraId="2391CB02" w14:textId="77777777" w:rsidR="00A14CD1" w:rsidRDefault="00A1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BCD39" w14:textId="77777777" w:rsidR="00316B08" w:rsidRDefault="00316B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F35B8" w14:textId="77777777" w:rsidR="00316B08" w:rsidRDefault="00316B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3F69"/>
    <w:multiLevelType w:val="hybridMultilevel"/>
    <w:tmpl w:val="A7A87FA6"/>
    <w:styleLink w:val="1"/>
    <w:lvl w:ilvl="0" w:tplc="8C1A2A9C">
      <w:start w:val="1"/>
      <w:numFmt w:val="decimal"/>
      <w:lvlText w:val="%1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03402B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05C8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472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E67C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2556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266C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230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25D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1F52199"/>
    <w:multiLevelType w:val="hybridMultilevel"/>
    <w:tmpl w:val="A7A87FA6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88"/>
    <w:rsid w:val="000A2A6D"/>
    <w:rsid w:val="00316B08"/>
    <w:rsid w:val="00374006"/>
    <w:rsid w:val="003B4F64"/>
    <w:rsid w:val="006828C3"/>
    <w:rsid w:val="007E4EA4"/>
    <w:rsid w:val="00800E15"/>
    <w:rsid w:val="00914745"/>
    <w:rsid w:val="00A14CD1"/>
    <w:rsid w:val="00B45DF7"/>
    <w:rsid w:val="00C0106E"/>
    <w:rsid w:val="00DD7F7F"/>
    <w:rsid w:val="00E75E3F"/>
    <w:rsid w:val="00ED1188"/>
    <w:rsid w:val="00EE0BE7"/>
    <w:rsid w:val="00F7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1EFD"/>
  <w15:docId w15:val="{2CDE4D63-2357-4685-B23A-A4EAE4DA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0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rPr>
      <w:rFonts w:eastAsia="Times New Roman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00"/>
      <w:u w:val="single" w:color="000000"/>
    </w:rPr>
  </w:style>
  <w:style w:type="character" w:customStyle="1" w:styleId="a8">
    <w:name w:val="Нет"/>
  </w:style>
  <w:style w:type="character" w:customStyle="1" w:styleId="Hyperlink1">
    <w:name w:val="Hyperlink.1"/>
    <w:basedOn w:val="a8"/>
    <w:rPr>
      <w:rFonts w:ascii="Times New Roman" w:eastAsia="Times New Roman" w:hAnsi="Times New Roman" w:cs="Times New Roman"/>
      <w:outline w:val="0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sid w:val="00800E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0E1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0E15"/>
    <w:rPr>
      <w:rFonts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0E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0E15"/>
    <w:rPr>
      <w:rFonts w:cs="Arial Unicode MS"/>
      <w:b/>
      <w:bCs/>
      <w:color w:val="000000"/>
      <w:u w:color="000000"/>
    </w:rPr>
  </w:style>
  <w:style w:type="paragraph" w:styleId="ae">
    <w:name w:val="Balloon Text"/>
    <w:basedOn w:val="a"/>
    <w:link w:val="af"/>
    <w:uiPriority w:val="99"/>
    <w:semiHidden/>
    <w:unhideWhenUsed/>
    <w:rsid w:val="00C0106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106E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30">
    <w:name w:val="Заголовок 3 Знак"/>
    <w:basedOn w:val="a0"/>
    <w:link w:val="3"/>
    <w:uiPriority w:val="9"/>
    <w:semiHidden/>
    <w:rsid w:val="00F7300B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Sharova Anna A.</dc:creator>
  <cp:lastModifiedBy>Sharova Anna A.</cp:lastModifiedBy>
  <cp:revision>2</cp:revision>
  <dcterms:created xsi:type="dcterms:W3CDTF">2024-02-16T15:42:00Z</dcterms:created>
  <dcterms:modified xsi:type="dcterms:W3CDTF">2024-02-16T15:42:00Z</dcterms:modified>
</cp:coreProperties>
</file>