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>
    <v:background id="_x0000_s1025" o:bwmode="white" o:targetscreensize="1024,768" filled="t" fillcolor="#ffffff"/>
  </w:background>
  <w:body>
    <w:p>
      <w:pPr>
        <w:pStyle w:val="a5"/>
        <w:jc w:val="center"/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Реализм в творчестве Баха' Тахира</w:t>
      </w:r>
    </w:p>
    <w:p>
      <w:pPr>
        <w:pStyle w:val="a5"/>
        <w:jc w:val="center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>Ишмухаметова Юлия Рашитовна</w:t>
      </w:r>
    </w:p>
    <w:p>
      <w:pPr>
        <w:pStyle w:val="a5"/>
        <w:jc w:val="center"/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  <w:t>Студент (бакалавр)</w:t>
      </w:r>
    </w:p>
    <w:p>
      <w:pPr>
        <w:pStyle w:val="a5"/>
        <w:jc w:val="center"/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  <w:t>Научный руководитель: к.ф.н., доцент Осипова Кристина Тиграновна</w:t>
      </w:r>
    </w:p>
    <w:p>
      <w:pPr>
        <w:pStyle w:val="a5"/>
        <w:jc w:val="center"/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>
      <w:pPr>
        <w:pStyle w:val="a5"/>
        <w:jc w:val="center"/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  <w:t>Институт стран Азии и Африки, Москва, Россия</w:t>
      </w:r>
    </w:p>
    <w:p>
      <w:pPr>
        <w:pStyle w:val="a5"/>
        <w:jc w:val="center"/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  <w:instrText xml:space="preserve"> HYPERLINK "mailto:juliana689@mail.ru" </w:instrText>
      </w:r>
      <w:r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  <w:fldChar w:fldCharType="separate"/>
      </w:r>
      <w:r>
        <w:rPr>
          <w:rStyle w:val="afa"/>
          <w:rFonts w:ascii="Times New Roman" w:eastAsia="Times New Roman" w:hAnsi="Times New Roman" w:cs="Times New Roman" w:hint="default"/>
          <w:i/>
          <w:iCs/>
          <w:sz w:val="24"/>
          <w:szCs w:val="24"/>
        </w:rPr>
        <w:t>juliana689@mail.r</w:t>
      </w:r>
      <w:r>
        <w:rPr>
          <w:rStyle w:val="afa"/>
          <w:rFonts w:ascii="Times New Roman" w:eastAsia="Times New Roman" w:hAnsi="Times New Roman" w:cs="Times New Roman" w:hint="default"/>
          <w:i/>
          <w:iCs/>
          <w:sz w:val="24"/>
          <w:szCs w:val="24"/>
          <w:rtl w:val="off"/>
        </w:rPr>
        <w:t>u</w:t>
      </w:r>
      <w:r>
        <w:rPr>
          <w:rFonts w:ascii="Times New Roman" w:eastAsia="Times New Roman" w:hAnsi="Times New Roman" w:cs="Times New Roman" w:hint="default"/>
          <w:i/>
          <w:iCs/>
          <w:sz w:val="24"/>
          <w:szCs w:val="24"/>
        </w:rPr>
        <w:fldChar w:fldCharType="end"/>
      </w:r>
    </w:p>
    <w:p>
      <w:pPr>
        <w:pStyle w:val="a5"/>
        <w:ind w:leftChars="0" w:left="0" w:firstLineChars="243" w:firstLine="567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На рубеже 19-20 вв. в арабской литературе все отчетливее заявляют о себе авторы, </w:t>
      </w:r>
      <w:r>
        <w:rPr>
          <w:rFonts w:ascii="Times New Roman" w:eastAsia="Times New Roman" w:hAnsi="Times New Roman"/>
          <w:sz w:val="24"/>
          <w:szCs w:val="24"/>
        </w:rPr>
        <w:t>котор</w:t>
      </w:r>
      <w:r>
        <w:rPr>
          <w:rFonts w:ascii="Times New Roman" w:eastAsia="Times New Roman" w:hAnsi="Times New Roman"/>
          <w:sz w:val="24"/>
          <w:szCs w:val="24"/>
          <w:rtl w:val="off"/>
        </w:rPr>
        <w:t>ые</w:t>
      </w:r>
      <w:r>
        <w:rPr>
          <w:rFonts w:ascii="Times New Roman" w:eastAsia="Times New Roman" w:hAnsi="Times New Roman"/>
          <w:sz w:val="24"/>
          <w:szCs w:val="24"/>
        </w:rPr>
        <w:t xml:space="preserve"> изображ</w:t>
      </w:r>
      <w:r>
        <w:rPr>
          <w:rFonts w:ascii="Times New Roman" w:eastAsia="Times New Roman" w:hAnsi="Times New Roman"/>
          <w:sz w:val="24"/>
          <w:szCs w:val="24"/>
          <w:rtl w:val="off"/>
        </w:rPr>
        <w:t>аю</w:t>
      </w:r>
      <w:r>
        <w:rPr>
          <w:rFonts w:ascii="Times New Roman" w:eastAsia="Times New Roman" w:hAnsi="Times New Roman"/>
          <w:sz w:val="24"/>
          <w:szCs w:val="24"/>
        </w:rPr>
        <w:t>т “голую” действительность, жизнь без прикрас, жизнь человека, живущего в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жестокой реальности.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 Это вобрал в себя реализм </w:t>
      </w:r>
      <w:r>
        <w:rPr>
          <w:rFonts w:ascii="Times New Roman" w:eastAsia="Times New Roman" w:hAnsi="Times New Roman"/>
          <w:sz w:val="24"/>
          <w:szCs w:val="24"/>
        </w:rPr>
        <w:t>XX столет</w:t>
      </w:r>
      <w:r>
        <w:rPr>
          <w:rFonts w:ascii="Times New Roman" w:eastAsia="Times New Roman" w:hAnsi="Times New Roman"/>
          <w:sz w:val="24"/>
          <w:szCs w:val="24"/>
          <w:rtl w:val="off"/>
        </w:rPr>
        <w:t>ия.</w:t>
      </w:r>
    </w:p>
    <w:p>
      <w:pPr>
        <w:pStyle w:val="a5"/>
        <w:ind w:leftChars="0" w:left="0" w:firstLineChars="243" w:firstLine="567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тот момент литература обратилась к подлинным проблемам народа и не только отображала все тяготы его существования, но и содействовала созданию для народа достойной человеческой жизн</w:t>
      </w:r>
      <w:r>
        <w:rPr>
          <w:rFonts w:ascii="Times New Roman" w:eastAsia="Times New Roman" w:hAnsi="Times New Roman"/>
          <w:sz w:val="24"/>
          <w:szCs w:val="24"/>
          <w:rtl w:val="off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. Сам термин “реализм” был введен французским писателем и критиком Ж. Шанфлери, основной идеей которого было изучение действительности, отказ в идеализировании фактов. </w:t>
      </w:r>
    </w:p>
    <w:p>
      <w:pPr>
        <w:pStyle w:val="a5"/>
        <w:ind w:leftChars="0" w:left="0" w:firstLineChars="243" w:firstLine="567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Реализм в арабской литературе интересен тем, что позволяет читателю узнать о жизни арабского общества, о влиянии событий второй половины XX века, столь сложного для арабской нации, на настроения, чувства и жизнь людей. </w:t>
      </w:r>
    </w:p>
    <w:p>
      <w:pPr>
        <w:pStyle w:val="a5"/>
        <w:ind w:leftChars="0" w:left="0" w:firstLineChars="243" w:firstLine="567"/>
        <w:spacing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Данное литературное направление в докладе </w:t>
      </w:r>
      <w:r>
        <w:rPr>
          <w:rFonts w:ascii="Times New Roman" w:eastAsia="Times New Roman" w:hAnsi="Times New Roman"/>
          <w:sz w:val="24"/>
          <w:szCs w:val="24"/>
          <w:rtl w:val="off"/>
        </w:rPr>
        <w:t>мы</w:t>
      </w:r>
      <w:r>
        <w:rPr>
          <w:rFonts w:ascii="Times New Roman" w:eastAsia="Times New Roman" w:hAnsi="Times New Roman"/>
          <w:sz w:val="24"/>
          <w:szCs w:val="24"/>
        </w:rPr>
        <w:t xml:space="preserve"> рассматрив</w:t>
      </w:r>
      <w:r>
        <w:rPr>
          <w:rFonts w:ascii="Times New Roman" w:eastAsia="Times New Roman" w:hAnsi="Times New Roman"/>
          <w:sz w:val="24"/>
          <w:szCs w:val="24"/>
          <w:rtl w:val="off"/>
        </w:rPr>
        <w:t>аем</w:t>
      </w:r>
      <w:r>
        <w:rPr>
          <w:rFonts w:ascii="Times New Roman" w:eastAsia="Times New Roman" w:hAnsi="Times New Roman"/>
          <w:sz w:val="24"/>
          <w:szCs w:val="24"/>
        </w:rPr>
        <w:t xml:space="preserve"> на примере одного из наиболее выдающихся арабских писателей-реалистов второй половины XX века ‒ Баха’Тахира, влияние которого на развитие египетской национальной литературы и мысли в целом трудно переоценить. </w:t>
      </w:r>
      <w:r>
        <w:rPr>
          <w:rFonts w:ascii="Times New Roman" w:eastAsia="Times New Roman" w:hAnsi="Times New Roman"/>
          <w:sz w:val="24"/>
          <w:szCs w:val="24"/>
          <w:rtl w:val="off"/>
        </w:rPr>
        <w:t>Баха</w:t>
      </w:r>
      <w:r>
        <w:rPr>
          <w:rFonts w:ascii="Times New Roman" w:eastAsia="Times New Roman" w:hAnsi="Times New Roman"/>
          <w:sz w:val="24"/>
          <w:szCs w:val="24"/>
        </w:rPr>
        <w:t>’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 Тахир — п</w:t>
      </w:r>
      <w:r>
        <w:rPr>
          <w:rFonts w:ascii="Times New Roman" w:eastAsia="Times New Roman" w:hAnsi="Times New Roman"/>
          <w:sz w:val="24"/>
          <w:szCs w:val="24"/>
        </w:rPr>
        <w:t>исател</w:t>
      </w:r>
      <w:r>
        <w:rPr>
          <w:rFonts w:ascii="Times New Roman" w:eastAsia="Times New Roman" w:hAnsi="Times New Roman"/>
          <w:sz w:val="24"/>
          <w:szCs w:val="24"/>
          <w:rtl w:val="off"/>
        </w:rPr>
        <w:t>ь</w:t>
      </w:r>
      <w:r>
        <w:rPr>
          <w:rFonts w:ascii="Times New Roman" w:eastAsia="Times New Roman" w:hAnsi="Times New Roman"/>
          <w:sz w:val="24"/>
          <w:szCs w:val="24"/>
        </w:rPr>
        <w:t>, получивш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ий </w:t>
      </w:r>
      <w:r>
        <w:rPr>
          <w:rFonts w:ascii="Times New Roman" w:eastAsia="Times New Roman" w:hAnsi="Times New Roman"/>
          <w:sz w:val="24"/>
          <w:szCs w:val="24"/>
        </w:rPr>
        <w:t xml:space="preserve">престижную литературную премию за романы на арабском языке, известную как </w:t>
      </w:r>
      <w:r>
        <w:rPr>
          <w:rFonts w:ascii="Times New Roman" w:eastAsia="Times New Roman" w:hAnsi="Times New Roman"/>
          <w:sz w:val="24"/>
          <w:szCs w:val="24"/>
          <w:rtl w:val="off"/>
        </w:rPr>
        <w:t>“</w:t>
      </w:r>
      <w:r>
        <w:rPr>
          <w:rFonts w:ascii="Times New Roman" w:eastAsia="Times New Roman" w:hAnsi="Times New Roman"/>
          <w:sz w:val="24"/>
          <w:szCs w:val="24"/>
        </w:rPr>
        <w:t>Арабский Букер</w:t>
      </w:r>
      <w:r>
        <w:rPr>
          <w:rFonts w:ascii="Times New Roman" w:eastAsia="Times New Roman" w:hAnsi="Times New Roman"/>
          <w:sz w:val="24"/>
          <w:szCs w:val="24"/>
          <w:rtl w:val="off"/>
        </w:rPr>
        <w:t>”</w:t>
      </w:r>
      <w:r>
        <w:rPr>
          <w:rFonts w:ascii="Times New Roman" w:eastAsia="Times New Roman" w:hAnsi="Times New Roman"/>
          <w:sz w:val="24"/>
          <w:szCs w:val="24"/>
        </w:rPr>
        <w:t>, и так называемый “Щит Гассана Каннафани”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Писатель, который мог писать о “сквозных темах” в литературе — о любви, дружбе, семье, нравственности на фоне страшных событий второй половины XX века. Его желание добиться справедливости и лаконичное изображение столкновения западного мира с восточным навсегда вписало его имя в историю арабской литературы.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 </w:t>
      </w:r>
    </w:p>
    <w:p>
      <w:pPr>
        <w:pStyle w:val="a5"/>
        <w:ind w:leftChars="0" w:left="0" w:firstLineChars="243" w:firstLine="567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Его произведения известны своей </w:t>
      </w:r>
      <w:r>
        <w:rPr>
          <w:rFonts w:ascii="Times New Roman" w:eastAsia="Times New Roman" w:hAnsi="Times New Roman"/>
          <w:sz w:val="24"/>
          <w:szCs w:val="24"/>
        </w:rPr>
        <w:t>автобиографич</w:t>
      </w:r>
      <w:r>
        <w:rPr>
          <w:rFonts w:ascii="Times New Roman" w:eastAsia="Times New Roman" w:hAnsi="Times New Roman"/>
          <w:sz w:val="24"/>
          <w:szCs w:val="24"/>
          <w:rtl w:val="off"/>
        </w:rPr>
        <w:t>ностью.</w:t>
      </w:r>
      <w:r>
        <w:rPr>
          <w:rFonts w:ascii="Times New Roman" w:eastAsia="Times New Roman" w:hAnsi="Times New Roman"/>
          <w:sz w:val="24"/>
          <w:szCs w:val="24"/>
        </w:rPr>
        <w:t>Тахир уделяет внимание каждой мелочи — от цвета одежды и мимики до мыслей и действий героя, что помогает читателю нарисовать в голове полный образ и буквально "найти" себя в персонаже. В его работах поднимаютс</w:t>
      </w:r>
      <w:r>
        <w:rPr>
          <w:rFonts w:ascii="Times New Roman" w:eastAsia="Times New Roman" w:hAnsi="Times New Roman"/>
          <w:sz w:val="24"/>
          <w:szCs w:val="24"/>
          <w:rtl w:val="off"/>
        </w:rPr>
        <w:t>я жизненные</w:t>
      </w:r>
      <w:r>
        <w:rPr>
          <w:rFonts w:ascii="Times New Roman" w:eastAsia="Times New Roman" w:hAnsi="Times New Roman"/>
          <w:sz w:val="24"/>
          <w:szCs w:val="24"/>
        </w:rPr>
        <w:t xml:space="preserve"> проблемы и социальные явлен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ия в арабском обществе </w:t>
      </w:r>
      <w:r>
        <w:rPr>
          <w:rFonts w:ascii="Times New Roman" w:eastAsia="Times New Roman" w:hAnsi="Times New Roman"/>
          <w:sz w:val="24"/>
          <w:szCs w:val="24"/>
        </w:rPr>
        <w:t>второй половин</w:t>
      </w:r>
      <w:r>
        <w:rPr>
          <w:rFonts w:ascii="Times New Roman" w:eastAsia="Times New Roman" w:hAnsi="Times New Roman"/>
          <w:sz w:val="24"/>
          <w:szCs w:val="24"/>
          <w:rtl w:val="off"/>
        </w:rPr>
        <w:t>ы</w:t>
      </w:r>
      <w:r>
        <w:rPr>
          <w:rFonts w:ascii="Times New Roman" w:eastAsia="Times New Roman" w:hAnsi="Times New Roman"/>
          <w:sz w:val="24"/>
          <w:szCs w:val="24"/>
        </w:rPr>
        <w:t xml:space="preserve"> XX века.</w:t>
      </w:r>
    </w:p>
    <w:p>
      <w:pPr>
        <w:pStyle w:val="a5"/>
        <w:ind w:leftChars="0" w:left="0" w:firstLineChars="243" w:firstLine="567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Актуальность темы в том, что попыток проанализировать такое сложное и противоречивое литературное направление как реализм на примере произведений Баха’ Тахира, </w:t>
      </w:r>
      <w:r>
        <w:rPr>
          <w:rFonts w:ascii="Times New Roman" w:eastAsia="Times New Roman" w:hAnsi="Times New Roman"/>
          <w:sz w:val="24"/>
          <w:szCs w:val="24"/>
          <w:rtl w:val="off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реди российских ученых не было. </w:t>
      </w:r>
    </w:p>
    <w:p>
      <w:pPr>
        <w:pStyle w:val="a5"/>
        <w:ind w:leftChars="0" w:left="0" w:firstLineChars="243" w:firstLine="567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В данном исследовании мы анализировали</w:t>
      </w:r>
      <w:r>
        <w:rPr>
          <w:rFonts w:ascii="Times New Roman" w:eastAsia="Times New Roman" w:hAnsi="Times New Roman"/>
          <w:sz w:val="24"/>
          <w:szCs w:val="24"/>
        </w:rPr>
        <w:t xml:space="preserve"> роман “Любовь в изгнан</w:t>
      </w:r>
      <w:r>
        <w:rPr>
          <w:rFonts w:ascii="Times New Roman" w:eastAsia="Times New Roman" w:hAnsi="Times New Roman"/>
          <w:sz w:val="24"/>
          <w:szCs w:val="24"/>
          <w:rtl w:val="off"/>
        </w:rPr>
        <w:t>ии” [1</w:t>
      </w:r>
      <w:r>
        <w:rPr>
          <w:rFonts w:ascii="Times New Roman" w:eastAsia="Times New Roman" w:hAnsi="Times New Roman"/>
          <w:sz w:val="24"/>
          <w:szCs w:val="24"/>
        </w:rPr>
        <w:t xml:space="preserve">] и 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рассказы из </w:t>
      </w:r>
      <w:r>
        <w:rPr>
          <w:rFonts w:ascii="Times New Roman" w:eastAsia="Times New Roman" w:hAnsi="Times New Roman"/>
          <w:sz w:val="24"/>
          <w:szCs w:val="24"/>
        </w:rPr>
        <w:t>сборник</w:t>
      </w:r>
      <w:r>
        <w:rPr>
          <w:rFonts w:ascii="Times New Roman" w:eastAsia="Times New Roman" w:hAnsi="Times New Roman"/>
          <w:sz w:val="24"/>
          <w:szCs w:val="24"/>
          <w:rtl w:val="off"/>
        </w:rPr>
        <w:t>а</w:t>
      </w:r>
      <w:r>
        <w:rPr>
          <w:rFonts w:ascii="Times New Roman" w:eastAsia="Times New Roman" w:hAnsi="Times New Roman"/>
          <w:sz w:val="24"/>
          <w:szCs w:val="24"/>
        </w:rPr>
        <w:t>“Помолвка” [</w:t>
      </w:r>
      <w:r>
        <w:rPr>
          <w:rFonts w:ascii="Times New Roman" w:eastAsia="Times New Roman" w:hAnsi="Times New Roman"/>
          <w:sz w:val="24"/>
          <w:szCs w:val="24"/>
          <w:rtl w:val="off"/>
        </w:rPr>
        <w:t>2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>
      <w:pPr>
        <w:pStyle w:val="a5"/>
        <w:ind w:leftChars="0" w:left="0" w:firstLineChars="243" w:firstLine="567"/>
        <w:spacing w:line="240" w:lineRule="auto"/>
        <w:rPr>
          <w:lang w:bidi="ar-EG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В докладе б</w:t>
      </w:r>
      <w:r>
        <w:rPr>
          <w:rFonts w:ascii="Times New Roman" w:eastAsia="Times New Roman" w:hAnsi="Times New Roman"/>
          <w:sz w:val="24"/>
          <w:szCs w:val="24"/>
        </w:rPr>
        <w:t>ыли использованы труды отечественных авторов, среди которых стоит отметить “Историю египетской литературы XIX-XX веков” В. Н. Кирпиченко [</w:t>
      </w:r>
      <w:r>
        <w:rPr>
          <w:rFonts w:ascii="Times New Roman" w:eastAsia="Times New Roman" w:hAnsi="Times New Roman"/>
          <w:sz w:val="24"/>
          <w:szCs w:val="24"/>
          <w:rtl w:val="off"/>
        </w:rPr>
        <w:t>3</w:t>
      </w:r>
      <w:r>
        <w:rPr>
          <w:rFonts w:ascii="Times New Roman" w:eastAsia="Times New Roman" w:hAnsi="Times New Roman"/>
          <w:sz w:val="24"/>
          <w:szCs w:val="24"/>
        </w:rPr>
        <w:t>], “Историю всемирной литературы” И.М.Фрадкина [</w:t>
      </w:r>
      <w:r>
        <w:rPr>
          <w:rFonts w:ascii="Times New Roman" w:eastAsia="Times New Roman" w:hAnsi="Times New Roman"/>
          <w:sz w:val="24"/>
          <w:szCs w:val="24"/>
          <w:rtl w:val="off"/>
        </w:rPr>
        <w:t>4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>
      <w:pPr>
        <w:pStyle w:val="a5"/>
        <w:jc w:val="center"/>
        <w:rPr>
          <w:rFonts w:ascii="Times New Roman" w:eastAsia="Times New Roman" w:hAnsi="Times New Roman" w:cs="Times New Roman" w:hint="default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  <w:t>Литература</w:t>
      </w:r>
    </w:p>
    <w:p>
      <w:pPr>
        <w:pStyle w:val="a5"/>
        <w:ind w:leftChars="0"/>
        <w:jc w:val="lef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sz w:val="24"/>
          <w:szCs w:val="24"/>
        </w:rPr>
        <w:t xml:space="preserve">Тахир 2010 а ‒ Баха' Тахир. Любовь в изгнании. М: Центр книги ВГБИЛим. М.И. Рудомино, Институт востоковедения РАН, 2010, с. 13-271. </w:t>
      </w:r>
    </w:p>
    <w:p>
      <w:pPr>
        <w:pStyle w:val="af3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Тахир 2010 б ‒ Баха' Тахир. Ал-Хутуба. Египет: Д</w:t>
      </w:r>
      <w:r>
        <w:rPr>
          <w:rFonts w:ascii="Times New Roman" w:eastAsia="Times New Roman" w:hAnsi="Times New Roman"/>
          <w:sz w:val="24"/>
          <w:szCs w:val="24"/>
          <w:rtl w:val="off"/>
        </w:rPr>
        <w:t>ар а</w:t>
      </w:r>
      <w:r>
        <w:rPr>
          <w:rFonts w:ascii="Times New Roman" w:eastAsia="Times New Roman" w:hAnsi="Times New Roman"/>
          <w:sz w:val="24"/>
          <w:szCs w:val="24"/>
        </w:rPr>
        <w:t>ш-Шурук, 2010, с.100-109.</w:t>
      </w:r>
    </w:p>
    <w:p>
      <w:pPr>
        <w:pStyle w:val="af3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Кирпиченко 2002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‒ Кирпиченко </w:t>
      </w:r>
      <w:r>
        <w:rPr>
          <w:rFonts w:ascii="Times New Roman" w:eastAsia="Times New Roman" w:hAnsi="Times New Roman"/>
          <w:sz w:val="24"/>
          <w:szCs w:val="24"/>
        </w:rPr>
        <w:t>В.Н. История Египетской литературы XIX-XX веков.Т.1. М.: Издательская фирма "Восточная литература" РАН, 2002, с.132-251.</w:t>
      </w:r>
    </w:p>
    <w:p>
      <w:pPr>
        <w:pStyle w:val="af3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Фрадкин 1994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‒ Фрадкин </w:t>
      </w:r>
      <w:r>
        <w:rPr>
          <w:rFonts w:ascii="Times New Roman" w:eastAsia="Times New Roman" w:hAnsi="Times New Roman"/>
          <w:sz w:val="24"/>
          <w:szCs w:val="24"/>
        </w:rPr>
        <w:t>И.М. История всемирной литературы.Т.8. М.:Издательство "Наука",1994, с.673-677.</w:t>
      </w:r>
    </w:p>
    <w:p>
      <w:pPr>
        <w:pStyle w:val="a1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sectPr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notTrueType w:val="true"/>
    <w:sig w:usb0="E0002EFF" w:usb1="C000785B" w:usb2="00000009" w:usb3="00000001" w:csb0="400001FF" w:csb1="FFFF0000"/>
  </w:font>
  <w:font w:name="Calibri">
    <w:panose1 w:val="020F0502020204030204"/>
    <w:notTrueType w:val="true"/>
    <w:sig w:usb0="E4002EFF" w:usb1="C000247B" w:usb2="00000009" w:usb3="00000001" w:csb0="200001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"/>
    <w:multiLevelType w:val="hybridMultilevel"/>
    <w:lvl w:ilvl="0" w:tplc="409000f">
      <w:start w:val="1"/>
      <w:lvlText w:val="%1."/>
      <w:lvlJc w:val="left"/>
      <w:pPr>
        <w:ind w:left="800" w:hanging="400"/>
      </w:pPr>
      <w:rPr/>
    </w:lvl>
    <w:lvl w:ilvl="1" w:tplc="4392858c">
      <w:start w:val="1"/>
      <w:numFmt w:val="lowerLetter"/>
      <w:lvlText w:val="%2."/>
      <w:lvlJc w:val="left"/>
      <w:pPr>
        <w:ind w:left="1200" w:hanging="400"/>
      </w:pPr>
      <w:rPr/>
    </w:lvl>
    <w:lvl w:ilvl="2" w:tplc="409001b">
      <w:start w:val="1"/>
      <w:numFmt w:val="lowerRoman"/>
      <w:lvlText w:val="%3."/>
      <w:lvlJc w:val="left"/>
      <w:pPr>
        <w:ind w:left="1600" w:hanging="400"/>
      </w:pPr>
      <w:rPr/>
    </w:lvl>
    <w:lvl w:ilvl="3" w:tplc="409000f">
      <w:start w:val="1"/>
      <w:lvlText w:val="%4."/>
      <w:lvlJc w:val="left"/>
      <w:pPr>
        <w:ind w:left="2000" w:hanging="400"/>
      </w:pPr>
      <w:rPr/>
    </w:lvl>
    <w:lvl w:ilvl="4" w:tplc="4392858c">
      <w:start w:val="1"/>
      <w:numFmt w:val="lowerLetter"/>
      <w:lvlText w:val="%5."/>
      <w:lvlJc w:val="left"/>
      <w:pPr>
        <w:ind w:left="2400" w:hanging="400"/>
      </w:pPr>
      <w:rPr/>
    </w:lvl>
    <w:lvl w:ilvl="5" w:tplc="409001b">
      <w:start w:val="1"/>
      <w:numFmt w:val="lowerRoman"/>
      <w:lvlText w:val="%6."/>
      <w:lvlJc w:val="left"/>
      <w:pPr>
        <w:ind w:left="2800" w:hanging="400"/>
      </w:pPr>
      <w:rPr/>
    </w:lvl>
    <w:lvl w:ilvl="6" w:tplc="409000f">
      <w:start w:val="1"/>
      <w:lvlText w:val="%7."/>
      <w:lvlJc w:val="left"/>
      <w:pPr>
        <w:ind w:left="3200" w:hanging="400"/>
      </w:pPr>
      <w:rPr/>
    </w:lvl>
    <w:lvl w:ilvl="7" w:tplc="4392858c">
      <w:start w:val="1"/>
      <w:numFmt w:val="lowerLetter"/>
      <w:lvlText w:val="%8."/>
      <w:lvlJc w:val="left"/>
      <w:pPr>
        <w:ind w:left="3600" w:hanging="400"/>
      </w:pPr>
      <w:rPr/>
    </w:lvl>
    <w:lvl w:ilvl="8" w:tplc="409001b">
      <w:start w:val="1"/>
      <w:numFmt w:val="lowerRoman"/>
      <w:lvlText w:val="%9."/>
      <w:lvlJc w:val="left"/>
      <w:pPr>
        <w:ind w:left="4000" w:hanging="400"/>
      </w:pPr>
      <w:rPr/>
    </w:lvl>
  </w:abstractNum>
  <w:abstractNum w:abstractNumId="1">
    <w:nsid w:val="2"/>
    <w:multiLevelType w:val="hybridMultilevel"/>
    <w:lvl w:ilvl="0" w:tplc="409000f">
      <w:start w:val="1"/>
      <w:lvlText w:val="%1."/>
      <w:lvlJc w:val="left"/>
      <w:pPr>
        <w:ind w:left="800" w:hanging="400"/>
      </w:pPr>
      <w:rPr/>
    </w:lvl>
    <w:lvl w:ilvl="1" w:tplc="4392858c">
      <w:start w:val="1"/>
      <w:numFmt w:val="lowerLetter"/>
      <w:lvlText w:val="%2."/>
      <w:lvlJc w:val="left"/>
      <w:pPr>
        <w:ind w:left="1200" w:hanging="400"/>
      </w:pPr>
      <w:rPr/>
    </w:lvl>
    <w:lvl w:ilvl="2" w:tplc="409001b">
      <w:start w:val="1"/>
      <w:numFmt w:val="lowerRoman"/>
      <w:lvlText w:val="%3."/>
      <w:lvlJc w:val="left"/>
      <w:pPr>
        <w:ind w:left="1600" w:hanging="400"/>
      </w:pPr>
      <w:rPr/>
    </w:lvl>
    <w:lvl w:ilvl="3" w:tplc="409000f">
      <w:start w:val="1"/>
      <w:lvlText w:val="%4."/>
      <w:lvlJc w:val="left"/>
      <w:pPr>
        <w:ind w:left="2000" w:hanging="400"/>
      </w:pPr>
      <w:rPr/>
    </w:lvl>
    <w:lvl w:ilvl="4" w:tplc="4392858c">
      <w:start w:val="1"/>
      <w:numFmt w:val="lowerLetter"/>
      <w:lvlText w:val="%5."/>
      <w:lvlJc w:val="left"/>
      <w:pPr>
        <w:ind w:left="2400" w:hanging="400"/>
      </w:pPr>
      <w:rPr/>
    </w:lvl>
    <w:lvl w:ilvl="5" w:tplc="409001b">
      <w:start w:val="1"/>
      <w:numFmt w:val="lowerRoman"/>
      <w:lvlText w:val="%6."/>
      <w:lvlJc w:val="left"/>
      <w:pPr>
        <w:ind w:left="2800" w:hanging="400"/>
      </w:pPr>
      <w:rPr/>
    </w:lvl>
    <w:lvl w:ilvl="6" w:tplc="409000f">
      <w:start w:val="1"/>
      <w:lvlText w:val="%7."/>
      <w:lvlJc w:val="left"/>
      <w:pPr>
        <w:ind w:left="3200" w:hanging="400"/>
      </w:pPr>
      <w:rPr/>
    </w:lvl>
    <w:lvl w:ilvl="7" w:tplc="4392858c">
      <w:start w:val="1"/>
      <w:numFmt w:val="lowerLetter"/>
      <w:lvlText w:val="%8."/>
      <w:lvlJc w:val="left"/>
      <w:pPr>
        <w:ind w:left="3600" w:hanging="400"/>
      </w:pPr>
      <w:rPr/>
    </w:lvl>
    <w:lvl w:ilvl="8" w:tplc="409001b">
      <w:start w:val="1"/>
      <w:numFmt w:val="lowerRoman"/>
      <w:lvlText w:val="%9."/>
      <w:lvlJc w:val="left"/>
      <w:pPr>
        <w:ind w:left="4000" w:hanging="40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bordersDontSurroundHeader/>
  <w:bordersDontSurroundFooter/>
  <w:proofState w:spelling="clean" w:grammar="clean"/>
  <w:defaultTabStop w:val="708"/>
  <w:hyphenationZone w:val="36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/>
        <w:rFonts w:ascii="Calibri" w:eastAsia="Calibri" w:hAnsi="Calibri" w:hint="default"/>
      </w:rPr>
    </w:rPrDefault>
    <w:pPrDefault>
      <w:pPr/>
    </w:pPrDefault>
  </w:docDefaults>
  <w:style w:type="paragraph" w:default="1" w:styleId="a1">
    <w:name w:val="Normal"/>
    <w:next w:val="a1"/>
    <w:qFormat/>
    <w:pPr>
      <w:spacing w:after="160" w:line="259" w:lineRule="auto"/>
    </w:pPr>
    <w:rPr>
      <w:lang w:val="ru-RU" w:eastAsia="en-US" w:bidi="ar-SA"/>
      <w:sz w:val="22"/>
      <w:szCs w:val="22"/>
    </w:rPr>
  </w:style>
  <w:style w:type="character" w:default="1" w:styleId="a2">
    <w:name w:val="Default Paragraph Font"/>
    <w:next w:val="a2"/>
    <w:semiHidden/>
    <w:unhideWhenUsed/>
  </w:style>
  <w:style w:type="table" w:default="1" w:styleId="a3">
    <w:name w:val="Normal Table"/>
    <w:next w:val="a3"/>
    <w:semiHidden/>
    <w:unhideWhenUsed/>
    <w:p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default="1" w:styleId="a4">
    <w:name w:val="No List"/>
    <w:next w:val="a4"/>
    <w:semiHidden/>
    <w:unhideWhenUsed/>
    <w:pPr/>
  </w:style>
  <w:style w:type="paragraph" w:styleId="a1">
    <w:name w:val="Normal"/>
    <w:next w:val="a1"/>
    <w:qFormat/>
    <w:pPr>
      <w:spacing w:after="160" w:line="259" w:lineRule="auto"/>
    </w:pPr>
    <w:rPr>
      <w:lang w:val="ru-RU" w:eastAsia="en-US" w:bidi="ar-SA"/>
      <w:sz w:val="22"/>
      <w:szCs w:val="22"/>
    </w:rPr>
  </w:style>
  <w:style w:type="paragraph" w:styleId="a5">
    <w:name w:val="No Spacing"/>
    <w:next w:val="a5"/>
    <w:qFormat/>
    <w:pPr/>
    <w:rPr>
      <w:lang w:val="ru-RU" w:eastAsia="ru-RU" w:bidi="ar-SA"/>
    </w:rPr>
  </w:style>
  <w:style w:type="paragraph" w:styleId="af3">
    <w:name w:val="List Paragraph"/>
    <w:basedOn w:val="a1"/>
    <w:next w:val="af3"/>
    <w:qFormat/>
    <w:pPr>
      <w:ind w:left="720"/>
      <w:contextualSpacing/>
    </w:pPr>
  </w:style>
  <w:style w:type="character" w:styleId="afa">
    <w:name w:val="Hyperlink"/>
    <w:next w:val="afa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Оляндэр</dc:creator>
  <cp:keywords/>
  <dc:description/>
  <cp:lastModifiedBy>Эльдорадо</cp:lastModifiedBy>
  <cp:revision>1</cp:revision>
  <dcterms:created xsi:type="dcterms:W3CDTF">2024-02-27T21:08:00Z</dcterms:created>
  <dcterms:modified xsi:type="dcterms:W3CDTF">2024-02-28T20:17:44Z</dcterms:modified>
  <cp:version>0900.0000.01</cp:version>
</cp:coreProperties>
</file>