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A80A3" w14:textId="6E073D14" w:rsidR="00CE6F0F" w:rsidRPr="00B7339B" w:rsidRDefault="00047026" w:rsidP="003E4BA7">
      <w:pPr>
        <w:spacing w:before="0" w:after="160"/>
        <w:jc w:val="center"/>
        <w:rPr>
          <w:rFonts w:eastAsia="Calibri"/>
          <w:b/>
          <w:bCs/>
          <w:szCs w:val="28"/>
          <w:lang w:bidi="hi-IN"/>
        </w:rPr>
      </w:pPr>
      <w:r>
        <w:rPr>
          <w:rFonts w:eastAsia="Calibri" w:cs="Times New Roman"/>
          <w:b/>
          <w:bCs/>
          <w:szCs w:val="28"/>
        </w:rPr>
        <w:t xml:space="preserve"> </w:t>
      </w:r>
      <w:r w:rsidR="00B7339B">
        <w:rPr>
          <w:rFonts w:eastAsia="Calibri"/>
          <w:b/>
          <w:bCs/>
          <w:szCs w:val="28"/>
          <w:lang w:bidi="hi-IN"/>
        </w:rPr>
        <w:t>Экспериментальное исследование обработки эргативной и номинативной падежной маркировки в хинди, языке с расщепленной эргативностью</w:t>
      </w:r>
    </w:p>
    <w:p w14:paraId="2923466D" w14:textId="47389652" w:rsidR="00CE6F0F" w:rsidRPr="00CE6F0F" w:rsidRDefault="00CE6F0F" w:rsidP="003E4BA7">
      <w:pPr>
        <w:spacing w:before="0" w:after="160"/>
        <w:jc w:val="center"/>
        <w:rPr>
          <w:rFonts w:eastAsia="Calibri" w:cs="Times New Roman"/>
          <w:b/>
          <w:bCs/>
          <w:i/>
          <w:iCs/>
          <w:szCs w:val="28"/>
        </w:rPr>
      </w:pPr>
      <w:r w:rsidRPr="00CE6F0F">
        <w:rPr>
          <w:rFonts w:eastAsia="Calibri" w:cs="Times New Roman"/>
          <w:b/>
          <w:bCs/>
          <w:i/>
          <w:iCs/>
          <w:szCs w:val="28"/>
        </w:rPr>
        <w:t>Губанова Нина Николаевна</w:t>
      </w:r>
    </w:p>
    <w:p w14:paraId="60EB932A" w14:textId="5543BA58" w:rsidR="00CE6F0F" w:rsidRPr="00CE6F0F" w:rsidRDefault="00CE6F0F" w:rsidP="003E4BA7">
      <w:pPr>
        <w:spacing w:before="0" w:after="160"/>
        <w:jc w:val="center"/>
        <w:rPr>
          <w:rFonts w:eastAsia="Calibri" w:cs="Times New Roman"/>
          <w:i/>
          <w:iCs/>
          <w:szCs w:val="28"/>
        </w:rPr>
      </w:pPr>
      <w:r w:rsidRPr="00CE6F0F">
        <w:rPr>
          <w:rFonts w:eastAsia="Calibri" w:cs="Times New Roman"/>
          <w:i/>
          <w:iCs/>
          <w:szCs w:val="28"/>
        </w:rPr>
        <w:t>бакалавр</w:t>
      </w:r>
    </w:p>
    <w:p w14:paraId="5FB95AFE" w14:textId="77777777" w:rsidR="00CE6F0F" w:rsidRPr="00CE6F0F" w:rsidRDefault="00CE6F0F" w:rsidP="003E4BA7">
      <w:pPr>
        <w:jc w:val="center"/>
        <w:rPr>
          <w:i/>
          <w:iCs/>
        </w:rPr>
      </w:pPr>
      <w:r w:rsidRPr="00CE6F0F">
        <w:rPr>
          <w:i/>
          <w:iCs/>
        </w:rPr>
        <w:t>Московский государственный университет им. М.В. Ломоносова, Москва, Россия</w:t>
      </w:r>
    </w:p>
    <w:p w14:paraId="2CEDD1FF" w14:textId="1650FF48" w:rsidR="00CE6F0F" w:rsidRPr="00753848" w:rsidRDefault="00CE6F0F" w:rsidP="003E4BA7">
      <w:pPr>
        <w:spacing w:before="0" w:after="160"/>
        <w:jc w:val="center"/>
        <w:rPr>
          <w:i/>
          <w:iCs/>
        </w:rPr>
      </w:pPr>
      <w:r w:rsidRPr="00CE6F0F">
        <w:rPr>
          <w:i/>
          <w:iCs/>
          <w:lang w:val="en-US"/>
        </w:rPr>
        <w:t>E</w:t>
      </w:r>
      <w:r w:rsidRPr="00753848">
        <w:rPr>
          <w:i/>
          <w:iCs/>
        </w:rPr>
        <w:t>–</w:t>
      </w:r>
      <w:r w:rsidRPr="00CE6F0F">
        <w:rPr>
          <w:i/>
          <w:iCs/>
          <w:lang w:val="en-US"/>
        </w:rPr>
        <w:t>mail</w:t>
      </w:r>
      <w:r w:rsidRPr="00753848">
        <w:rPr>
          <w:i/>
          <w:iCs/>
        </w:rPr>
        <w:t xml:space="preserve">: </w:t>
      </w:r>
      <w:r w:rsidRPr="00CE6F0F">
        <w:rPr>
          <w:i/>
          <w:iCs/>
          <w:lang w:val="en-US"/>
        </w:rPr>
        <w:t>nina</w:t>
      </w:r>
      <w:r w:rsidRPr="00753848">
        <w:rPr>
          <w:i/>
          <w:iCs/>
        </w:rPr>
        <w:t>_</w:t>
      </w:r>
      <w:r w:rsidRPr="00CE6F0F">
        <w:rPr>
          <w:i/>
          <w:iCs/>
          <w:lang w:val="en-US"/>
        </w:rPr>
        <w:t>gubanova</w:t>
      </w:r>
      <w:r w:rsidRPr="00753848">
        <w:rPr>
          <w:i/>
          <w:iCs/>
        </w:rPr>
        <w:t>_2002@</w:t>
      </w:r>
      <w:r w:rsidRPr="00CE6F0F">
        <w:rPr>
          <w:i/>
          <w:iCs/>
          <w:lang w:val="en-US"/>
        </w:rPr>
        <w:t>mail</w:t>
      </w:r>
      <w:r w:rsidRPr="00753848">
        <w:rPr>
          <w:i/>
          <w:iCs/>
        </w:rPr>
        <w:t>.</w:t>
      </w:r>
      <w:r w:rsidRPr="00CE6F0F">
        <w:rPr>
          <w:i/>
          <w:iCs/>
          <w:lang w:val="en-US"/>
        </w:rPr>
        <w:t>ru</w:t>
      </w:r>
    </w:p>
    <w:p w14:paraId="67347AC8" w14:textId="2A62C4C6" w:rsidR="00E328E3" w:rsidRDefault="00E328E3" w:rsidP="00E328E3">
      <w:pPr>
        <w:ind w:firstLine="708"/>
      </w:pPr>
      <w:r>
        <w:t>В настоящей работе делается попытка проследить релятивизацию субъекта и объекта в эргативной и номинативной сферах</w:t>
      </w:r>
      <w:r w:rsidRPr="00937F5F">
        <w:t xml:space="preserve"> </w:t>
      </w:r>
      <w:r>
        <w:t xml:space="preserve">хинди для проверки иерархии доступности на материале языка с расщепленной эргативностью. Актуальность обусловлена тем, что ранее релятивные предложения не рассматривались в языках с расщепленной эргативностью. Цель работы – экспериментальным путем выяснить, что влияет на скорость понимания релятивных клауз: </w:t>
      </w:r>
      <w:r w:rsidR="00B5690C">
        <w:t xml:space="preserve">стратегия </w:t>
      </w:r>
      <w:r>
        <w:t>синтаксическо</w:t>
      </w:r>
      <w:r w:rsidR="00B5690C">
        <w:t>го</w:t>
      </w:r>
      <w:r>
        <w:t xml:space="preserve"> кодировани</w:t>
      </w:r>
      <w:r w:rsidR="00B5690C">
        <w:t>я</w:t>
      </w:r>
      <w:r>
        <w:t xml:space="preserve"> или положение </w:t>
      </w:r>
      <w:r w:rsidR="00262C73">
        <w:t xml:space="preserve">релятивизируемой </w:t>
      </w:r>
      <w:r>
        <w:t xml:space="preserve">именной группы в иерархии доступности. </w:t>
      </w:r>
    </w:p>
    <w:p w14:paraId="530F931B" w14:textId="06D7B7B5" w:rsidR="00E328E3" w:rsidRDefault="00A73139" w:rsidP="007C25AE">
      <w:pPr>
        <w:spacing w:before="0" w:after="160"/>
        <w:ind w:firstLine="708"/>
        <w:rPr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Согласно и</w:t>
      </w:r>
      <w:r w:rsidR="006D2936">
        <w:rPr>
          <w:rFonts w:cs="Times New Roman"/>
          <w:szCs w:val="28"/>
          <w:shd w:val="clear" w:color="auto" w:fill="FFFFFF"/>
        </w:rPr>
        <w:t>ерархии доступности</w:t>
      </w:r>
      <w:r w:rsidR="0060369B">
        <w:rPr>
          <w:rFonts w:cs="Times New Roman"/>
          <w:szCs w:val="28"/>
          <w:shd w:val="clear" w:color="auto" w:fill="FFFFFF"/>
        </w:rPr>
        <w:t xml:space="preserve"> Кинэна-Комри</w:t>
      </w:r>
      <w:r w:rsidR="003E4BA7" w:rsidRPr="00C7183F">
        <w:rPr>
          <w:rFonts w:cs="Times New Roman"/>
          <w:szCs w:val="28"/>
          <w:shd w:val="clear" w:color="auto" w:fill="FFFFFF"/>
        </w:rPr>
        <w:t>, если язык релятивизирует один тип именного словосочетания</w:t>
      </w:r>
      <w:r w:rsidR="003E4BA7" w:rsidRPr="00975010">
        <w:rPr>
          <w:rFonts w:cs="Times New Roman"/>
          <w:szCs w:val="28"/>
          <w:shd w:val="clear" w:color="auto" w:fill="FFFFFF"/>
        </w:rPr>
        <w:t xml:space="preserve"> (</w:t>
      </w:r>
      <w:r w:rsidR="003E4BA7">
        <w:rPr>
          <w:rFonts w:cs="Times New Roman"/>
          <w:szCs w:val="28"/>
          <w:shd w:val="clear" w:color="auto" w:fill="FFFFFF"/>
          <w:lang w:val="en-US"/>
        </w:rPr>
        <w:t>noun</w:t>
      </w:r>
      <w:r w:rsidR="003E4BA7" w:rsidRPr="00975010">
        <w:rPr>
          <w:rFonts w:cs="Times New Roman"/>
          <w:szCs w:val="28"/>
          <w:shd w:val="clear" w:color="auto" w:fill="FFFFFF"/>
        </w:rPr>
        <w:t xml:space="preserve"> </w:t>
      </w:r>
      <w:r w:rsidR="003E4BA7">
        <w:rPr>
          <w:rFonts w:cs="Times New Roman"/>
          <w:szCs w:val="28"/>
          <w:shd w:val="clear" w:color="auto" w:fill="FFFFFF"/>
          <w:lang w:val="en-US"/>
        </w:rPr>
        <w:t>phrase</w:t>
      </w:r>
      <w:r w:rsidR="003E4BA7" w:rsidRPr="00975010">
        <w:rPr>
          <w:rFonts w:cs="Times New Roman"/>
          <w:szCs w:val="28"/>
          <w:shd w:val="clear" w:color="auto" w:fill="FFFFFF"/>
        </w:rPr>
        <w:t>)</w:t>
      </w:r>
      <w:r w:rsidR="003E4BA7">
        <w:rPr>
          <w:rFonts w:cs="Times New Roman"/>
          <w:szCs w:val="28"/>
          <w:shd w:val="clear" w:color="auto" w:fill="FFFFFF"/>
        </w:rPr>
        <w:t xml:space="preserve">, то он должен </w:t>
      </w:r>
      <w:r w:rsidR="003E4BA7" w:rsidRPr="00CB4F53">
        <w:rPr>
          <w:rFonts w:cs="Times New Roman"/>
          <w:szCs w:val="28"/>
          <w:shd w:val="clear" w:color="auto" w:fill="FFFFFF"/>
        </w:rPr>
        <w:t>релятивизировать</w:t>
      </w:r>
      <w:r w:rsidR="003E4BA7">
        <w:rPr>
          <w:rFonts w:cs="Times New Roman"/>
          <w:szCs w:val="28"/>
          <w:shd w:val="clear" w:color="auto" w:fill="FFFFFF"/>
        </w:rPr>
        <w:t xml:space="preserve"> все именные словосочетания слева от него в </w:t>
      </w:r>
      <w:r w:rsidR="003E4BA7" w:rsidRPr="00CB4F53">
        <w:rPr>
          <w:rFonts w:cs="Times New Roman"/>
          <w:szCs w:val="28"/>
          <w:shd w:val="clear" w:color="auto" w:fill="FFFFFF"/>
        </w:rPr>
        <w:t>иерархии.</w:t>
      </w:r>
      <w:r w:rsidR="005B7483">
        <w:rPr>
          <w:rFonts w:cs="Times New Roman"/>
          <w:szCs w:val="28"/>
          <w:shd w:val="clear" w:color="auto" w:fill="FFFFFF"/>
        </w:rPr>
        <w:t xml:space="preserve"> Возрастающая трудность в обработке придаточного предложения по мере смещения его места вправо в иерархии служит предиктором сложности понимания предложения</w:t>
      </w:r>
      <w:r>
        <w:rPr>
          <w:rFonts w:cs="Times New Roman"/>
          <w:szCs w:val="28"/>
          <w:shd w:val="clear" w:color="auto" w:fill="FFFFFF"/>
        </w:rPr>
        <w:t>, то есть чем правее позиция вершины предложения, тем дольше обрабатывается придаточное предложение.</w:t>
      </w:r>
      <w:r w:rsidR="007C25AE">
        <w:rPr>
          <w:rFonts w:cs="Times New Roman"/>
          <w:szCs w:val="28"/>
          <w:shd w:val="clear" w:color="auto" w:fill="FFFFFF"/>
        </w:rPr>
        <w:t xml:space="preserve"> </w:t>
      </w:r>
      <w:r w:rsidR="00D71339">
        <w:rPr>
          <w:szCs w:val="28"/>
          <w:shd w:val="clear" w:color="auto" w:fill="FFFFFF"/>
        </w:rPr>
        <w:t>Применение иерархии доступности к нейролингвитиске привело к выводу, что субъектные придаточные предложения</w:t>
      </w:r>
      <w:r w:rsidR="00D71339" w:rsidRPr="00193E38">
        <w:rPr>
          <w:szCs w:val="28"/>
          <w:shd w:val="clear" w:color="auto" w:fill="FFFFFF"/>
        </w:rPr>
        <w:t xml:space="preserve"> быстрее </w:t>
      </w:r>
      <w:r w:rsidR="00D71339" w:rsidRPr="00C7183F">
        <w:rPr>
          <w:szCs w:val="28"/>
          <w:shd w:val="clear" w:color="auto" w:fill="FFFFFF"/>
        </w:rPr>
        <w:t xml:space="preserve">обрабатываются, их легче порождать, чем объектные придаточные предложения. </w:t>
      </w:r>
    </w:p>
    <w:p w14:paraId="76DA38A1" w14:textId="0A3F774B" w:rsidR="00573392" w:rsidRDefault="007C25AE" w:rsidP="00C8681D">
      <w:pPr>
        <w:ind w:firstLine="708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И</w:t>
      </w:r>
      <w:r w:rsidR="00573392" w:rsidRPr="00BE5931">
        <w:rPr>
          <w:rFonts w:cs="Times New Roman"/>
          <w:szCs w:val="28"/>
          <w:shd w:val="clear" w:color="auto" w:fill="FFFFFF"/>
        </w:rPr>
        <w:t xml:space="preserve">сследования типологически различных языков и групп </w:t>
      </w:r>
      <w:r w:rsidR="00573392">
        <w:rPr>
          <w:rFonts w:cs="Times New Roman"/>
          <w:szCs w:val="28"/>
          <w:shd w:val="clear" w:color="auto" w:fill="FFFFFF"/>
        </w:rPr>
        <w:t xml:space="preserve">поставили </w:t>
      </w:r>
      <w:r w:rsidR="00573392" w:rsidRPr="00BE5931">
        <w:rPr>
          <w:rFonts w:cs="Times New Roman"/>
          <w:szCs w:val="28"/>
          <w:shd w:val="clear" w:color="auto" w:fill="FFFFFF"/>
        </w:rPr>
        <w:t>под сомнение универсальность иерархии доступности Кинэна-Комр</w:t>
      </w:r>
      <w:r w:rsidR="00573392">
        <w:rPr>
          <w:rFonts w:cs="Times New Roman"/>
          <w:szCs w:val="28"/>
          <w:shd w:val="clear" w:color="auto" w:fill="FFFFFF"/>
        </w:rPr>
        <w:t xml:space="preserve">и. </w:t>
      </w:r>
      <w:r w:rsidR="005B7483">
        <w:rPr>
          <w:rFonts w:cs="Times New Roman"/>
          <w:szCs w:val="28"/>
          <w:shd w:val="clear" w:color="auto" w:fill="FFFFFF"/>
        </w:rPr>
        <w:t xml:space="preserve">Так исследования обработки придаточных предложений на эргативном баскском языке показали, что объект релятивизируется легче, чем субъект. </w:t>
      </w:r>
    </w:p>
    <w:p w14:paraId="12EBA7D4" w14:textId="063C9E59" w:rsidR="00E328E3" w:rsidRDefault="00E328E3" w:rsidP="00E328E3">
      <w:pPr>
        <w:ind w:firstLine="708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Сложность понимания таких конструкций также зависит от типологических характеристик языка, в том числе от стратегии синтаксического кодирования. </w:t>
      </w:r>
      <w:r>
        <w:t>Хинди – язык с расщепленной эргативностью. В видовременных формах несовершенного вида используется номинативно-аккузативная стратегия</w:t>
      </w:r>
      <w:r w:rsidRPr="008E1FDF">
        <w:t xml:space="preserve"> </w:t>
      </w:r>
      <w:r>
        <w:t>синтаксического кодирования, в формах совершенного вида – эргативная или контрастивная</w:t>
      </w:r>
      <w:r w:rsidRPr="00937F5F">
        <w:t xml:space="preserve"> </w:t>
      </w:r>
      <w:r>
        <w:t>стратегия</w:t>
      </w:r>
      <w:r w:rsidRPr="001729ED">
        <w:rPr>
          <w:rFonts w:cs="Times New Roman"/>
          <w:szCs w:val="28"/>
          <w:shd w:val="clear" w:color="auto" w:fill="FFFFFF"/>
        </w:rPr>
        <w:t>.</w:t>
      </w:r>
    </w:p>
    <w:p w14:paraId="4CCC64A8" w14:textId="27DC9938" w:rsidR="00573392" w:rsidRPr="005B7483" w:rsidRDefault="00573392" w:rsidP="005B7483">
      <w:pPr>
        <w:ind w:firstLine="708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До настоящего времени и</w:t>
      </w:r>
      <w:r w:rsidRPr="00F95A6C">
        <w:rPr>
          <w:rFonts w:cs="Times New Roman"/>
          <w:szCs w:val="28"/>
          <w:shd w:val="clear" w:color="auto" w:fill="FFFFFF"/>
        </w:rPr>
        <w:t xml:space="preserve">ерархия доступности не применялась к языкам с расщепленной эргативностью. </w:t>
      </w:r>
      <w:r>
        <w:rPr>
          <w:rFonts w:cs="Times New Roman"/>
          <w:szCs w:val="28"/>
          <w:shd w:val="clear" w:color="auto" w:fill="FFFFFF"/>
        </w:rPr>
        <w:t>Рита Матхур описала р</w:t>
      </w:r>
      <w:r w:rsidRPr="00F95A6C">
        <w:rPr>
          <w:rFonts w:cs="Times New Roman"/>
          <w:szCs w:val="28"/>
          <w:shd w:val="clear" w:color="auto" w:fill="FFFFFF"/>
        </w:rPr>
        <w:t>елятивизаци</w:t>
      </w:r>
      <w:r>
        <w:rPr>
          <w:rFonts w:cs="Times New Roman"/>
          <w:szCs w:val="28"/>
          <w:shd w:val="clear" w:color="auto" w:fill="FFFFFF"/>
        </w:rPr>
        <w:t>ю</w:t>
      </w:r>
      <w:r w:rsidRPr="00F95A6C">
        <w:rPr>
          <w:rFonts w:cs="Times New Roman"/>
          <w:szCs w:val="28"/>
          <w:shd w:val="clear" w:color="auto" w:fill="FFFFFF"/>
        </w:rPr>
        <w:t xml:space="preserve"> субъекта и объекта на материале хинди,</w:t>
      </w:r>
      <w:r w:rsidR="00B5690C"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cs="Times New Roman"/>
          <w:szCs w:val="28"/>
          <w:shd w:val="clear" w:color="auto" w:fill="FFFFFF"/>
        </w:rPr>
        <w:t>однако автор не сопоставляет понимание и порождение придаточных определительных в номинативной и эргативной сферах</w:t>
      </w:r>
      <w:r w:rsidR="005B7483">
        <w:t xml:space="preserve">. </w:t>
      </w:r>
    </w:p>
    <w:p w14:paraId="016266CF" w14:textId="47BA8F94" w:rsidR="002A7476" w:rsidRPr="007222A7" w:rsidRDefault="002A7476" w:rsidP="00C8681D">
      <w:pPr>
        <w:ind w:firstLine="708"/>
        <w:rPr>
          <w:rFonts w:cs="Times New Roman"/>
          <w:szCs w:val="24"/>
          <w:shd w:val="clear" w:color="auto" w:fill="FFFFFF"/>
        </w:rPr>
      </w:pPr>
      <w:r w:rsidRPr="007222A7">
        <w:rPr>
          <w:rFonts w:cs="Times New Roman"/>
          <w:szCs w:val="24"/>
          <w:shd w:val="clear" w:color="auto" w:fill="FFFFFF"/>
        </w:rPr>
        <w:t xml:space="preserve">Стимульный материал эксперимента </w:t>
      </w:r>
      <w:r w:rsidR="00DE3B56" w:rsidRPr="007222A7">
        <w:rPr>
          <w:rFonts w:cs="Times New Roman"/>
          <w:szCs w:val="24"/>
          <w:shd w:val="clear" w:color="auto" w:fill="FFFFFF"/>
        </w:rPr>
        <w:t xml:space="preserve">– </w:t>
      </w:r>
      <w:r w:rsidR="00DE3B56">
        <w:rPr>
          <w:rFonts w:cs="Times New Roman"/>
          <w:szCs w:val="24"/>
          <w:shd w:val="clear" w:color="auto" w:fill="FFFFFF"/>
        </w:rPr>
        <w:t>айтемы</w:t>
      </w:r>
      <w:r w:rsidRPr="007222A7">
        <w:rPr>
          <w:rFonts w:cs="Times New Roman"/>
          <w:szCs w:val="24"/>
          <w:shd w:val="clear" w:color="auto" w:fill="FFFFFF"/>
        </w:rPr>
        <w:t xml:space="preserve"> (экспериментальные предложения), филлеры (отвлекающие предложения) и тренировочные предложения.</w:t>
      </w:r>
    </w:p>
    <w:p w14:paraId="0010BC77" w14:textId="3C8F01A0" w:rsidR="007C25AE" w:rsidRDefault="007222A7" w:rsidP="005E168E">
      <w:pPr>
        <w:ind w:firstLine="708"/>
        <w:rPr>
          <w:rFonts w:cs="Times New Roman"/>
          <w:szCs w:val="24"/>
          <w:shd w:val="clear" w:color="auto" w:fill="FFFFFF"/>
        </w:rPr>
      </w:pPr>
      <w:r w:rsidRPr="007222A7">
        <w:rPr>
          <w:rFonts w:cs="Times New Roman"/>
          <w:szCs w:val="24"/>
          <w:shd w:val="clear" w:color="auto" w:fill="FFFFFF"/>
        </w:rPr>
        <w:t>Составленные для данного эксперимента айтемы</w:t>
      </w:r>
      <w:r w:rsidR="00B5690C">
        <w:rPr>
          <w:rFonts w:cs="Times New Roman"/>
          <w:szCs w:val="24"/>
          <w:shd w:val="clear" w:color="auto" w:fill="FFFFFF"/>
        </w:rPr>
        <w:t>, состоящие из 4 предложений,</w:t>
      </w:r>
      <w:r w:rsidRPr="007222A7">
        <w:rPr>
          <w:rFonts w:cs="Times New Roman"/>
          <w:szCs w:val="24"/>
          <w:shd w:val="clear" w:color="auto" w:fill="FFFFFF"/>
        </w:rPr>
        <w:t xml:space="preserve"> построены по определённой структуре</w:t>
      </w:r>
      <w:r w:rsidR="005E168E">
        <w:rPr>
          <w:rFonts w:cs="Times New Roman"/>
          <w:szCs w:val="24"/>
          <w:shd w:val="clear" w:color="auto" w:fill="FFFFFF"/>
        </w:rPr>
        <w:t xml:space="preserve">: в первом </w:t>
      </w:r>
      <w:r w:rsidR="00B5690C">
        <w:rPr>
          <w:rFonts w:cs="Times New Roman"/>
          <w:szCs w:val="24"/>
          <w:shd w:val="clear" w:color="auto" w:fill="FFFFFF"/>
        </w:rPr>
        <w:t xml:space="preserve">предложении </w:t>
      </w:r>
      <w:r w:rsidR="005E168E">
        <w:rPr>
          <w:rFonts w:cs="Times New Roman"/>
          <w:szCs w:val="24"/>
          <w:shd w:val="clear" w:color="auto" w:fill="FFFFFF"/>
        </w:rPr>
        <w:t>вершина относительной клаузы – субъект в номинативном падеже</w:t>
      </w:r>
      <w:r w:rsidR="00431EF5" w:rsidRPr="00431EF5">
        <w:rPr>
          <w:rFonts w:cs="Times New Roman"/>
          <w:szCs w:val="24"/>
          <w:shd w:val="clear" w:color="auto" w:fill="FFFFFF"/>
        </w:rPr>
        <w:t xml:space="preserve"> (</w:t>
      </w:r>
      <w:r w:rsidR="00836801">
        <w:rPr>
          <w:rFonts w:cs="Times New Roman"/>
          <w:szCs w:val="24"/>
          <w:shd w:val="clear" w:color="auto" w:fill="FFFFFF"/>
        </w:rPr>
        <w:t xml:space="preserve">тип </w:t>
      </w:r>
      <w:r w:rsidR="00431EF5" w:rsidRPr="00431EF5">
        <w:rPr>
          <w:rFonts w:cs="Times New Roman"/>
          <w:szCs w:val="24"/>
          <w:shd w:val="clear" w:color="auto" w:fill="FFFFFF"/>
        </w:rPr>
        <w:t>“</w:t>
      </w:r>
      <w:r w:rsidR="00431EF5">
        <w:rPr>
          <w:rFonts w:cs="Times New Roman"/>
          <w:szCs w:val="24"/>
          <w:shd w:val="clear" w:color="auto" w:fill="FFFFFF"/>
          <w:lang w:val="en-US"/>
        </w:rPr>
        <w:t>a</w:t>
      </w:r>
      <w:r w:rsidR="00431EF5" w:rsidRPr="00431EF5">
        <w:rPr>
          <w:rFonts w:cs="Times New Roman"/>
          <w:szCs w:val="24"/>
          <w:shd w:val="clear" w:color="auto" w:fill="FFFFFF"/>
        </w:rPr>
        <w:t>”)</w:t>
      </w:r>
      <w:r w:rsidR="005E168E">
        <w:rPr>
          <w:rFonts w:cs="Times New Roman"/>
          <w:szCs w:val="24"/>
          <w:shd w:val="clear" w:color="auto" w:fill="FFFFFF"/>
        </w:rPr>
        <w:t>, во втором – объект в номинативном падеже</w:t>
      </w:r>
      <w:r w:rsidR="00431EF5">
        <w:rPr>
          <w:rFonts w:cs="Times New Roman"/>
          <w:szCs w:val="24"/>
          <w:shd w:val="clear" w:color="auto" w:fill="FFFFFF"/>
        </w:rPr>
        <w:t xml:space="preserve"> (</w:t>
      </w:r>
      <w:r w:rsidR="00836801">
        <w:rPr>
          <w:rFonts w:cs="Times New Roman"/>
          <w:szCs w:val="24"/>
          <w:shd w:val="clear" w:color="auto" w:fill="FFFFFF"/>
        </w:rPr>
        <w:t xml:space="preserve">тип </w:t>
      </w:r>
      <w:r w:rsidR="00431EF5" w:rsidRPr="00431EF5">
        <w:rPr>
          <w:rFonts w:cs="Times New Roman"/>
          <w:szCs w:val="24"/>
          <w:shd w:val="clear" w:color="auto" w:fill="FFFFFF"/>
        </w:rPr>
        <w:t>“</w:t>
      </w:r>
      <w:r w:rsidR="00431EF5">
        <w:rPr>
          <w:rFonts w:cs="Times New Roman"/>
          <w:szCs w:val="24"/>
          <w:shd w:val="clear" w:color="auto" w:fill="FFFFFF"/>
          <w:lang w:val="en-US"/>
        </w:rPr>
        <w:t>b</w:t>
      </w:r>
      <w:r w:rsidR="00431EF5" w:rsidRPr="00431EF5">
        <w:rPr>
          <w:rFonts w:cs="Times New Roman"/>
          <w:szCs w:val="24"/>
          <w:shd w:val="clear" w:color="auto" w:fill="FFFFFF"/>
        </w:rPr>
        <w:t>”)</w:t>
      </w:r>
      <w:r w:rsidR="005E168E">
        <w:rPr>
          <w:rFonts w:cs="Times New Roman"/>
          <w:szCs w:val="24"/>
          <w:shd w:val="clear" w:color="auto" w:fill="FFFFFF"/>
        </w:rPr>
        <w:t>, в третьем – субъект в эргативном падеже</w:t>
      </w:r>
      <w:r w:rsidR="00431EF5" w:rsidRPr="00431EF5">
        <w:rPr>
          <w:rFonts w:cs="Times New Roman"/>
          <w:szCs w:val="24"/>
          <w:shd w:val="clear" w:color="auto" w:fill="FFFFFF"/>
        </w:rPr>
        <w:t xml:space="preserve"> (</w:t>
      </w:r>
      <w:r w:rsidR="00836801">
        <w:rPr>
          <w:rFonts w:cs="Times New Roman"/>
          <w:szCs w:val="24"/>
          <w:shd w:val="clear" w:color="auto" w:fill="FFFFFF"/>
        </w:rPr>
        <w:t xml:space="preserve">тип </w:t>
      </w:r>
      <w:r w:rsidR="00431EF5" w:rsidRPr="00431EF5">
        <w:rPr>
          <w:rFonts w:cs="Times New Roman"/>
          <w:szCs w:val="24"/>
          <w:shd w:val="clear" w:color="auto" w:fill="FFFFFF"/>
        </w:rPr>
        <w:t>“</w:t>
      </w:r>
      <w:r w:rsidR="00431EF5">
        <w:rPr>
          <w:rFonts w:cs="Times New Roman"/>
          <w:szCs w:val="24"/>
          <w:shd w:val="clear" w:color="auto" w:fill="FFFFFF"/>
          <w:lang w:val="en-US"/>
        </w:rPr>
        <w:t>c</w:t>
      </w:r>
      <w:r w:rsidR="00431EF5" w:rsidRPr="00431EF5">
        <w:rPr>
          <w:rFonts w:cs="Times New Roman"/>
          <w:szCs w:val="24"/>
          <w:shd w:val="clear" w:color="auto" w:fill="FFFFFF"/>
        </w:rPr>
        <w:t>”)</w:t>
      </w:r>
      <w:r w:rsidR="005E168E">
        <w:rPr>
          <w:rFonts w:cs="Times New Roman"/>
          <w:szCs w:val="24"/>
          <w:shd w:val="clear" w:color="auto" w:fill="FFFFFF"/>
        </w:rPr>
        <w:t>, в четвертом – объект в эргативном падеже</w:t>
      </w:r>
      <w:r w:rsidR="00431EF5" w:rsidRPr="00431EF5">
        <w:rPr>
          <w:rFonts w:cs="Times New Roman"/>
          <w:szCs w:val="24"/>
          <w:shd w:val="clear" w:color="auto" w:fill="FFFFFF"/>
        </w:rPr>
        <w:t xml:space="preserve"> (</w:t>
      </w:r>
      <w:r w:rsidR="00836801">
        <w:rPr>
          <w:rFonts w:cs="Times New Roman"/>
          <w:szCs w:val="24"/>
          <w:shd w:val="clear" w:color="auto" w:fill="FFFFFF"/>
        </w:rPr>
        <w:t xml:space="preserve">тип </w:t>
      </w:r>
      <w:r w:rsidR="00431EF5" w:rsidRPr="00431EF5">
        <w:rPr>
          <w:rFonts w:cs="Times New Roman"/>
          <w:szCs w:val="24"/>
          <w:shd w:val="clear" w:color="auto" w:fill="FFFFFF"/>
        </w:rPr>
        <w:t>“</w:t>
      </w:r>
      <w:r w:rsidR="00431EF5">
        <w:rPr>
          <w:rFonts w:cs="Times New Roman"/>
          <w:szCs w:val="24"/>
          <w:shd w:val="clear" w:color="auto" w:fill="FFFFFF"/>
          <w:lang w:val="en-US"/>
        </w:rPr>
        <w:t>d</w:t>
      </w:r>
      <w:r w:rsidR="00431EF5" w:rsidRPr="00431EF5">
        <w:rPr>
          <w:rFonts w:cs="Times New Roman"/>
          <w:szCs w:val="24"/>
          <w:shd w:val="clear" w:color="auto" w:fill="FFFFFF"/>
        </w:rPr>
        <w:t>”</w:t>
      </w:r>
      <w:r w:rsidR="00431EF5" w:rsidRPr="00836801">
        <w:rPr>
          <w:rFonts w:cs="Times New Roman"/>
          <w:szCs w:val="24"/>
          <w:shd w:val="clear" w:color="auto" w:fill="FFFFFF"/>
        </w:rPr>
        <w:t>)</w:t>
      </w:r>
      <w:r w:rsidR="005E168E">
        <w:rPr>
          <w:rFonts w:cs="Times New Roman"/>
          <w:szCs w:val="24"/>
          <w:shd w:val="clear" w:color="auto" w:fill="FFFFFF"/>
        </w:rPr>
        <w:t>. Всего 80 предложений. Филлеров – 40.</w:t>
      </w:r>
    </w:p>
    <w:p w14:paraId="50D99618" w14:textId="3AD4736A" w:rsidR="00874200" w:rsidRPr="00836801" w:rsidRDefault="002A7476" w:rsidP="00836801">
      <w:pPr>
        <w:ind w:firstLine="708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Готовые айтемы и филлеры разделяются на четыре части в соотношении 1:2</w:t>
      </w:r>
      <w:r w:rsidR="00874200">
        <w:rPr>
          <w:rFonts w:cs="Times New Roman"/>
          <w:szCs w:val="28"/>
          <w:shd w:val="clear" w:color="auto" w:fill="FFFFFF"/>
        </w:rPr>
        <w:t>, то есть</w:t>
      </w:r>
      <w:r>
        <w:rPr>
          <w:rFonts w:cs="Times New Roman"/>
          <w:szCs w:val="28"/>
          <w:shd w:val="clear" w:color="auto" w:fill="FFFFFF"/>
        </w:rPr>
        <w:t xml:space="preserve"> в каждом листе количество филлеров превышает количество предложений из айтемов в 2 раза.</w:t>
      </w:r>
      <w:r w:rsidR="00874200" w:rsidRPr="00874200">
        <w:rPr>
          <w:rFonts w:cs="Times New Roman"/>
          <w:szCs w:val="28"/>
          <w:shd w:val="clear" w:color="auto" w:fill="FFFFFF"/>
        </w:rPr>
        <w:t xml:space="preserve"> </w:t>
      </w:r>
      <w:r w:rsidR="00874200">
        <w:rPr>
          <w:rFonts w:cs="Times New Roman"/>
          <w:szCs w:val="28"/>
          <w:shd w:val="clear" w:color="auto" w:fill="FFFFFF"/>
        </w:rPr>
        <w:t>Каждая из четырех частей являет собой экспериментальный лист</w:t>
      </w:r>
      <w:r w:rsidR="00836801" w:rsidRPr="00836801">
        <w:rPr>
          <w:rFonts w:cs="Times New Roman"/>
          <w:szCs w:val="28"/>
          <w:shd w:val="clear" w:color="auto" w:fill="FFFFFF"/>
        </w:rPr>
        <w:t xml:space="preserve">, </w:t>
      </w:r>
      <w:r w:rsidR="00836801">
        <w:rPr>
          <w:szCs w:val="28"/>
          <w:shd w:val="clear" w:color="auto" w:fill="FFFFFF"/>
          <w:lang w:bidi="hi-IN"/>
        </w:rPr>
        <w:t xml:space="preserve">в </w:t>
      </w:r>
      <w:r w:rsidR="00836801">
        <w:rPr>
          <w:szCs w:val="28"/>
          <w:shd w:val="clear" w:color="auto" w:fill="FFFFFF"/>
          <w:lang w:bidi="hi-IN"/>
        </w:rPr>
        <w:lastRenderedPageBreak/>
        <w:t>которых</w:t>
      </w:r>
      <w:r w:rsidRPr="001729ED">
        <w:rPr>
          <w:rFonts w:cs="Times New Roman"/>
          <w:szCs w:val="28"/>
          <w:shd w:val="clear" w:color="auto" w:fill="FFFFFF"/>
        </w:rPr>
        <w:t xml:space="preserve"> стимульный материал распределен </w:t>
      </w:r>
      <w:r w:rsidRPr="00C53BD9">
        <w:rPr>
          <w:rFonts w:cs="Times New Roman"/>
          <w:szCs w:val="28"/>
          <w:shd w:val="clear" w:color="auto" w:fill="FFFFFF"/>
        </w:rPr>
        <w:t>сбалансированн</w:t>
      </w:r>
      <w:r w:rsidRPr="00D63A06">
        <w:rPr>
          <w:rFonts w:cs="Times New Roman"/>
          <w:szCs w:val="28"/>
          <w:shd w:val="clear" w:color="auto" w:fill="FFFFFF"/>
        </w:rPr>
        <w:t>о</w:t>
      </w:r>
      <w:r w:rsidR="00836801" w:rsidRPr="00836801">
        <w:rPr>
          <w:rFonts w:cs="Times New Roman"/>
          <w:szCs w:val="28"/>
          <w:shd w:val="clear" w:color="auto" w:fill="FFFFFF"/>
        </w:rPr>
        <w:t xml:space="preserve"> </w:t>
      </w:r>
      <w:r w:rsidRPr="00C7183F">
        <w:rPr>
          <w:rFonts w:cs="Times New Roman"/>
          <w:szCs w:val="28"/>
          <w:shd w:val="clear" w:color="auto" w:fill="FFFFFF"/>
        </w:rPr>
        <w:t>по системе «Латинского квадрата»</w:t>
      </w:r>
      <w:r>
        <w:rPr>
          <w:rFonts w:cs="Times New Roman"/>
          <w:szCs w:val="28"/>
          <w:shd w:val="clear" w:color="auto" w:fill="FFFFFF"/>
        </w:rPr>
        <w:t>.</w:t>
      </w:r>
    </w:p>
    <w:p w14:paraId="6A180A0F" w14:textId="182CF5A4" w:rsidR="00874200" w:rsidRDefault="00874200" w:rsidP="00874200">
      <w:pPr>
        <w:ind w:firstLine="708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В эксперименте приняли участие 43 грамотных носителя хинди в возрасте от 18 до 65 лет. В связи с тем, что используется методика чтения с саморегуляцией скорости</w:t>
      </w:r>
      <w:r w:rsidRPr="00343D05">
        <w:rPr>
          <w:rFonts w:cs="Times New Roman"/>
          <w:szCs w:val="28"/>
          <w:shd w:val="clear" w:color="auto" w:fill="FFFFFF"/>
        </w:rPr>
        <w:t xml:space="preserve"> (self-paced reading</w:t>
      </w:r>
      <w:r>
        <w:rPr>
          <w:rFonts w:cs="Times New Roman"/>
          <w:szCs w:val="28"/>
          <w:shd w:val="clear" w:color="auto" w:fill="FFFFFF"/>
        </w:rPr>
        <w:t>), при анализе учитывалось время, затраченное на прочтение слова</w:t>
      </w:r>
      <w:r w:rsidR="00431EF5">
        <w:rPr>
          <w:rFonts w:cs="Times New Roman"/>
          <w:szCs w:val="28"/>
          <w:shd w:val="clear" w:color="auto" w:fill="FFFFFF"/>
        </w:rPr>
        <w:t>. На основе этих данных был создан график, отражающий среднюю скорость чтения каждого слова в айтем</w:t>
      </w:r>
      <w:r w:rsidR="00DF4FB6">
        <w:rPr>
          <w:rFonts w:cs="Times New Roman"/>
          <w:szCs w:val="28"/>
          <w:shd w:val="clear" w:color="auto" w:fill="FFFFFF"/>
        </w:rPr>
        <w:t>ах</w:t>
      </w:r>
      <w:r w:rsidR="00431EF5">
        <w:rPr>
          <w:rFonts w:cs="Times New Roman"/>
          <w:szCs w:val="28"/>
          <w:shd w:val="clear" w:color="auto" w:fill="FFFFFF"/>
        </w:rPr>
        <w:t xml:space="preserve"> (Рис.1).</w:t>
      </w:r>
    </w:p>
    <w:p w14:paraId="59082E21" w14:textId="2A911A80" w:rsidR="00510C1E" w:rsidRDefault="00510C1E" w:rsidP="00874200">
      <w:pPr>
        <w:ind w:firstLine="708"/>
        <w:rPr>
          <w:szCs w:val="28"/>
          <w:shd w:val="clear" w:color="auto" w:fill="FFFFFF"/>
          <w:lang w:bidi="hi-IN"/>
        </w:rPr>
      </w:pPr>
      <w:r>
        <w:rPr>
          <w:rFonts w:cs="Times New Roman"/>
          <w:szCs w:val="28"/>
          <w:shd w:val="clear" w:color="auto" w:fill="FFFFFF"/>
        </w:rPr>
        <w:t xml:space="preserve">Результаты анализа показали, что </w:t>
      </w:r>
      <w:r w:rsidR="00AD38C6">
        <w:rPr>
          <w:rFonts w:cs="Times New Roman"/>
          <w:szCs w:val="28"/>
          <w:shd w:val="clear" w:color="auto" w:fill="FFFFFF"/>
        </w:rPr>
        <w:t xml:space="preserve">средняя </w:t>
      </w:r>
      <w:r>
        <w:rPr>
          <w:rFonts w:cs="Times New Roman"/>
          <w:szCs w:val="28"/>
          <w:shd w:val="clear" w:color="auto" w:fill="FFFFFF"/>
        </w:rPr>
        <w:t xml:space="preserve">скорость прочтения </w:t>
      </w:r>
      <w:r w:rsidR="00AD38C6">
        <w:rPr>
          <w:rFonts w:cs="Times New Roman"/>
          <w:szCs w:val="28"/>
          <w:shd w:val="clear" w:color="auto" w:fill="FFFFFF"/>
        </w:rPr>
        <w:t xml:space="preserve">шестого слова – </w:t>
      </w:r>
      <w:r w:rsidR="00641BF9">
        <w:rPr>
          <w:rFonts w:cs="Times New Roman"/>
          <w:szCs w:val="28"/>
          <w:shd w:val="clear" w:color="auto" w:fill="FFFFFF"/>
        </w:rPr>
        <w:t>определени</w:t>
      </w:r>
      <w:r w:rsidR="00E5334F">
        <w:rPr>
          <w:rFonts w:cs="Times New Roman"/>
          <w:szCs w:val="28"/>
          <w:shd w:val="clear" w:color="auto" w:fill="FFFFFF"/>
        </w:rPr>
        <w:t>я</w:t>
      </w:r>
      <w:r w:rsidR="00AD38C6">
        <w:rPr>
          <w:rFonts w:cs="Times New Roman"/>
          <w:szCs w:val="28"/>
          <w:shd w:val="clear" w:color="auto" w:fill="FFFFFF"/>
        </w:rPr>
        <w:t>, которое относится к вершине</w:t>
      </w:r>
      <w:r w:rsidR="00641BF9">
        <w:rPr>
          <w:rFonts w:cs="Times New Roman"/>
          <w:szCs w:val="28"/>
          <w:shd w:val="clear" w:color="auto" w:fill="FFFFFF"/>
        </w:rPr>
        <w:t xml:space="preserve"> главной</w:t>
      </w:r>
      <w:r w:rsidR="00AD38C6">
        <w:rPr>
          <w:rFonts w:cs="Times New Roman"/>
          <w:szCs w:val="28"/>
          <w:shd w:val="clear" w:color="auto" w:fill="FFFFFF"/>
        </w:rPr>
        <w:t xml:space="preserve"> клаузы – значительно отличается от средней скорости прочтения предложений типа </w:t>
      </w:r>
      <w:r w:rsidR="00AD38C6" w:rsidRPr="00AD38C6">
        <w:rPr>
          <w:szCs w:val="28"/>
          <w:shd w:val="clear" w:color="auto" w:fill="FFFFFF"/>
          <w:lang w:bidi="hi-IN"/>
        </w:rPr>
        <w:t>“</w:t>
      </w:r>
      <w:r w:rsidR="00AD38C6">
        <w:rPr>
          <w:szCs w:val="28"/>
          <w:shd w:val="clear" w:color="auto" w:fill="FFFFFF"/>
          <w:lang w:val="en-US" w:bidi="hi-IN"/>
        </w:rPr>
        <w:t>c</w:t>
      </w:r>
      <w:r w:rsidR="00AD38C6" w:rsidRPr="00AD38C6">
        <w:rPr>
          <w:szCs w:val="28"/>
          <w:shd w:val="clear" w:color="auto" w:fill="FFFFFF"/>
          <w:lang w:bidi="hi-IN"/>
        </w:rPr>
        <w:t>”</w:t>
      </w:r>
      <w:r w:rsidR="00AD38C6">
        <w:rPr>
          <w:szCs w:val="28"/>
          <w:shd w:val="clear" w:color="auto" w:fill="FFFFFF"/>
          <w:lang w:bidi="hi-IN"/>
        </w:rPr>
        <w:t xml:space="preserve"> и</w:t>
      </w:r>
      <w:r w:rsidR="00AD38C6" w:rsidRPr="00AD38C6">
        <w:rPr>
          <w:szCs w:val="28"/>
          <w:shd w:val="clear" w:color="auto" w:fill="FFFFFF"/>
          <w:lang w:bidi="hi-IN"/>
        </w:rPr>
        <w:t xml:space="preserve"> “</w:t>
      </w:r>
      <w:r w:rsidR="00AD38C6">
        <w:rPr>
          <w:szCs w:val="28"/>
          <w:shd w:val="clear" w:color="auto" w:fill="FFFFFF"/>
          <w:lang w:val="en-US" w:bidi="hi-IN"/>
        </w:rPr>
        <w:t>d</w:t>
      </w:r>
      <w:r w:rsidR="00AD38C6" w:rsidRPr="00AD38C6">
        <w:rPr>
          <w:szCs w:val="28"/>
          <w:shd w:val="clear" w:color="auto" w:fill="FFFFFF"/>
          <w:lang w:bidi="hi-IN"/>
        </w:rPr>
        <w:t>”</w:t>
      </w:r>
      <w:r w:rsidR="00B5539C">
        <w:rPr>
          <w:szCs w:val="28"/>
          <w:shd w:val="clear" w:color="auto" w:fill="FFFFFF"/>
          <w:lang w:bidi="hi-IN"/>
        </w:rPr>
        <w:t>, где вершина главной клаузы оформлена эргативным падежом</w:t>
      </w:r>
      <w:r w:rsidR="00AD38C6">
        <w:rPr>
          <w:szCs w:val="28"/>
          <w:shd w:val="clear" w:color="auto" w:fill="FFFFFF"/>
          <w:lang w:bidi="hi-IN"/>
        </w:rPr>
        <w:t xml:space="preserve">. </w:t>
      </w:r>
      <w:r w:rsidR="00641BF9">
        <w:rPr>
          <w:szCs w:val="28"/>
          <w:shd w:val="clear" w:color="auto" w:fill="FFFFFF"/>
          <w:lang w:bidi="hi-IN"/>
        </w:rPr>
        <w:t>В предложениях</w:t>
      </w:r>
      <w:r w:rsidR="00B5539C">
        <w:rPr>
          <w:szCs w:val="28"/>
          <w:shd w:val="clear" w:color="auto" w:fill="FFFFFF"/>
          <w:lang w:bidi="hi-IN"/>
        </w:rPr>
        <w:t xml:space="preserve"> типа </w:t>
      </w:r>
      <w:r w:rsidR="00B5539C" w:rsidRPr="00AD38C6">
        <w:rPr>
          <w:szCs w:val="28"/>
          <w:shd w:val="clear" w:color="auto" w:fill="FFFFFF"/>
          <w:lang w:bidi="hi-IN"/>
        </w:rPr>
        <w:t>“</w:t>
      </w:r>
      <w:r w:rsidR="00B5539C">
        <w:rPr>
          <w:szCs w:val="28"/>
          <w:shd w:val="clear" w:color="auto" w:fill="FFFFFF"/>
          <w:lang w:val="en-US" w:bidi="hi-IN"/>
        </w:rPr>
        <w:t>a</w:t>
      </w:r>
      <w:r w:rsidR="00B5539C" w:rsidRPr="00AD38C6">
        <w:rPr>
          <w:szCs w:val="28"/>
          <w:shd w:val="clear" w:color="auto" w:fill="FFFFFF"/>
          <w:lang w:bidi="hi-IN"/>
        </w:rPr>
        <w:t>”</w:t>
      </w:r>
      <w:r w:rsidR="00B5539C">
        <w:rPr>
          <w:szCs w:val="28"/>
          <w:shd w:val="clear" w:color="auto" w:fill="FFFFFF"/>
          <w:lang w:bidi="hi-IN"/>
        </w:rPr>
        <w:t xml:space="preserve"> и </w:t>
      </w:r>
      <w:r w:rsidR="00B5539C" w:rsidRPr="00AD38C6">
        <w:rPr>
          <w:szCs w:val="28"/>
          <w:shd w:val="clear" w:color="auto" w:fill="FFFFFF"/>
          <w:lang w:bidi="hi-IN"/>
        </w:rPr>
        <w:t>“</w:t>
      </w:r>
      <w:r w:rsidR="00B5539C">
        <w:rPr>
          <w:szCs w:val="28"/>
          <w:shd w:val="clear" w:color="auto" w:fill="FFFFFF"/>
          <w:lang w:val="en-US" w:bidi="hi-IN"/>
        </w:rPr>
        <w:t>b</w:t>
      </w:r>
      <w:r w:rsidR="00B5539C" w:rsidRPr="00AD38C6">
        <w:rPr>
          <w:szCs w:val="28"/>
          <w:shd w:val="clear" w:color="auto" w:fill="FFFFFF"/>
          <w:lang w:bidi="hi-IN"/>
        </w:rPr>
        <w:t>”</w:t>
      </w:r>
      <w:r w:rsidR="00B5539C">
        <w:rPr>
          <w:szCs w:val="28"/>
          <w:shd w:val="clear" w:color="auto" w:fill="FFFFFF"/>
          <w:lang w:bidi="hi-IN"/>
        </w:rPr>
        <w:t xml:space="preserve">, где вершина главной клаузы оформлена номинативным падежом, у </w:t>
      </w:r>
      <w:r w:rsidR="006A2CA1">
        <w:rPr>
          <w:szCs w:val="28"/>
          <w:shd w:val="clear" w:color="auto" w:fill="FFFFFF"/>
          <w:lang w:bidi="hi-IN"/>
        </w:rPr>
        <w:t xml:space="preserve">реципиентов </w:t>
      </w:r>
      <w:r w:rsidR="00DF4FB6">
        <w:rPr>
          <w:szCs w:val="28"/>
          <w:shd w:val="clear" w:color="auto" w:fill="FFFFFF"/>
          <w:lang w:bidi="hi-IN"/>
        </w:rPr>
        <w:t>не было сложности при</w:t>
      </w:r>
      <w:r w:rsidR="006A2CA1">
        <w:rPr>
          <w:szCs w:val="28"/>
          <w:shd w:val="clear" w:color="auto" w:fill="FFFFFF"/>
          <w:lang w:bidi="hi-IN"/>
        </w:rPr>
        <w:t xml:space="preserve"> прочтени</w:t>
      </w:r>
      <w:r w:rsidR="00DF4FB6">
        <w:rPr>
          <w:szCs w:val="28"/>
          <w:shd w:val="clear" w:color="auto" w:fill="FFFFFF"/>
          <w:lang w:bidi="hi-IN"/>
        </w:rPr>
        <w:t>и</w:t>
      </w:r>
      <w:r w:rsidR="006A2CA1">
        <w:rPr>
          <w:szCs w:val="28"/>
          <w:shd w:val="clear" w:color="auto" w:fill="FFFFFF"/>
          <w:lang w:bidi="hi-IN"/>
        </w:rPr>
        <w:t xml:space="preserve"> шестого слова. </w:t>
      </w:r>
      <w:r w:rsidR="00753848">
        <w:rPr>
          <w:szCs w:val="28"/>
          <w:shd w:val="clear" w:color="auto" w:fill="FFFFFF"/>
          <w:lang w:bidi="hi-IN"/>
        </w:rPr>
        <w:t>Мы предполагаем, что падежное оформление вершины относительной клаузы влияет на скорость обработки предложений. Мы планируем провести статистический анализ, чтобы подтвердить эту гипотезу.</w:t>
      </w:r>
    </w:p>
    <w:p w14:paraId="39E07274" w14:textId="27BB0152" w:rsidR="00B5539C" w:rsidRPr="00641BF9" w:rsidRDefault="00262C73" w:rsidP="00874200">
      <w:pPr>
        <w:ind w:firstLine="708"/>
        <w:rPr>
          <w:szCs w:val="28"/>
          <w:shd w:val="clear" w:color="auto" w:fill="FFFFFF"/>
          <w:lang w:bidi="hi-I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94391C" wp14:editId="0C08EC10">
            <wp:simplePos x="0" y="0"/>
            <wp:positionH relativeFrom="margin">
              <wp:align>center</wp:align>
            </wp:positionH>
            <wp:positionV relativeFrom="paragraph">
              <wp:posOffset>1435100</wp:posOffset>
            </wp:positionV>
            <wp:extent cx="2089785" cy="1257300"/>
            <wp:effectExtent l="0" t="0" r="571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9" t="10345" r="8972" b="5263"/>
                    <a:stretch/>
                  </pic:blipFill>
                  <pic:spPr bwMode="auto">
                    <a:xfrm>
                      <a:off x="0" y="0"/>
                      <a:ext cx="2089785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39C">
        <w:rPr>
          <w:szCs w:val="28"/>
          <w:shd w:val="clear" w:color="auto" w:fill="FFFFFF"/>
          <w:lang w:bidi="hi-IN"/>
        </w:rPr>
        <w:t xml:space="preserve">Результаты показали, что </w:t>
      </w:r>
      <w:r w:rsidR="00E5334F">
        <w:rPr>
          <w:szCs w:val="28"/>
          <w:shd w:val="clear" w:color="auto" w:fill="FFFFFF"/>
          <w:lang w:bidi="hi-IN"/>
        </w:rPr>
        <w:t>падежное оформление вершины главной клаузы влияет на обработку: предложения,</w:t>
      </w:r>
      <w:r w:rsidR="00E5334F" w:rsidRPr="00E5334F">
        <w:rPr>
          <w:szCs w:val="28"/>
          <w:shd w:val="clear" w:color="auto" w:fill="FFFFFF"/>
          <w:lang w:bidi="hi-IN"/>
        </w:rPr>
        <w:t xml:space="preserve"> </w:t>
      </w:r>
      <w:r w:rsidR="00E5334F">
        <w:rPr>
          <w:szCs w:val="28"/>
          <w:shd w:val="clear" w:color="auto" w:fill="FFFFFF"/>
          <w:lang w:bidi="hi-IN"/>
        </w:rPr>
        <w:t>в которых вершина главной клаузы оформлена эргативным падежом, требуют больше времени на их понимание, чем предложения, в которых   вершина главной клаузы оформлена номинативным падежом</w:t>
      </w:r>
      <w:r>
        <w:rPr>
          <w:szCs w:val="28"/>
          <w:shd w:val="clear" w:color="auto" w:fill="FFFFFF"/>
          <w:lang w:bidi="hi-IN"/>
        </w:rPr>
        <w:t xml:space="preserve">. При этом </w:t>
      </w:r>
      <w:r>
        <w:t>положение релятивизируемой именной группы в иерархии доступности не влияет на обработку. Мы планируем углубление исследования, посредством применения технологии отслеживания движения глаз, чтобы определить на каких именно этапах обработки возникают трудности у реципиентов.</w:t>
      </w:r>
    </w:p>
    <w:p w14:paraId="54CDF89A" w14:textId="524B2443" w:rsidR="00874200" w:rsidRDefault="00836801" w:rsidP="00836801">
      <w:pPr>
        <w:ind w:firstLine="708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Рис.1 Графическое представление результатов. На </w:t>
      </w:r>
      <w:r w:rsidRPr="00836801">
        <w:rPr>
          <w:rFonts w:cs="Times New Roman"/>
          <w:szCs w:val="28"/>
          <w:shd w:val="clear" w:color="auto" w:fill="FFFFFF"/>
        </w:rPr>
        <w:t>оси Х представлен порядковый номер слова в предложении, на оси Y – среднее время прочтения (в миллисекундах). Графики отражают среднее количество времени, затраченное на прочтение каждого слова в четырех типах предложения (тип “a”, тип “b”, тип “c”, тип “d”).</w:t>
      </w:r>
    </w:p>
    <w:p w14:paraId="0641C1A2" w14:textId="47FD2053" w:rsidR="00C8681D" w:rsidRDefault="00C8681D" w:rsidP="00C8681D">
      <w:pPr>
        <w:jc w:val="center"/>
        <w:rPr>
          <w:rFonts w:cs="Times New Roman"/>
          <w:b/>
          <w:bCs/>
          <w:szCs w:val="28"/>
          <w:shd w:val="clear" w:color="auto" w:fill="FFFFFF"/>
        </w:rPr>
      </w:pPr>
      <w:r w:rsidRPr="00C8681D">
        <w:rPr>
          <w:rFonts w:cs="Times New Roman"/>
          <w:b/>
          <w:bCs/>
          <w:szCs w:val="28"/>
          <w:shd w:val="clear" w:color="auto" w:fill="FFFFFF"/>
        </w:rPr>
        <w:t>Источники и литература:</w:t>
      </w:r>
    </w:p>
    <w:p w14:paraId="52E339C7" w14:textId="77777777" w:rsidR="00C8681D" w:rsidRPr="005E23F2" w:rsidRDefault="00C8681D" w:rsidP="00C8681D">
      <w:pPr>
        <w:pStyle w:val="a5"/>
        <w:numPr>
          <w:ilvl w:val="0"/>
          <w:numId w:val="3"/>
        </w:numPr>
        <w:spacing w:before="0" w:after="160"/>
      </w:pPr>
      <w:r w:rsidRPr="00F7309E">
        <w:rPr>
          <w:rFonts w:cs="Times New Roman"/>
          <w:szCs w:val="28"/>
          <w:shd w:val="clear" w:color="auto" w:fill="FFFFFF"/>
        </w:rPr>
        <w:t xml:space="preserve">Фёдорова О.В., </w:t>
      </w:r>
      <w:r>
        <w:t xml:space="preserve">Основы экспериментальной психолингвистики: принципы организации эксперимента: Учебное пособие. — М.: </w:t>
      </w:r>
      <w:r w:rsidRPr="005E23F2">
        <w:t>Спутник+, 2008. — 24 с.</w:t>
      </w:r>
    </w:p>
    <w:p w14:paraId="0553D5F2" w14:textId="4CF59A8C" w:rsidR="00C8681D" w:rsidRPr="00F7309E" w:rsidRDefault="00C8681D" w:rsidP="00C8681D">
      <w:pPr>
        <w:pStyle w:val="a5"/>
        <w:numPr>
          <w:ilvl w:val="0"/>
          <w:numId w:val="3"/>
        </w:numPr>
        <w:spacing w:before="0" w:after="160"/>
        <w:rPr>
          <w:lang w:val="en-US"/>
        </w:rPr>
      </w:pPr>
      <w:r w:rsidRPr="00F7309E">
        <w:rPr>
          <w:lang w:val="en-US"/>
        </w:rPr>
        <w:t xml:space="preserve">Comrie B., Keenan E. Noun phrase accessibility revisited // Language, vol. 55 (3), 1979. P. </w:t>
      </w:r>
      <w:r w:rsidR="00253874">
        <w:t>63-99</w:t>
      </w:r>
      <w:r w:rsidRPr="00F7309E">
        <w:rPr>
          <w:lang w:val="en-US"/>
        </w:rPr>
        <w:t>.</w:t>
      </w:r>
    </w:p>
    <w:p w14:paraId="014E36C0" w14:textId="0628E5F3" w:rsidR="00C8681D" w:rsidRPr="00F7309E" w:rsidRDefault="00C8681D" w:rsidP="00C8681D">
      <w:pPr>
        <w:pStyle w:val="a5"/>
        <w:numPr>
          <w:ilvl w:val="0"/>
          <w:numId w:val="3"/>
        </w:numPr>
        <w:spacing w:before="0" w:after="160"/>
        <w:rPr>
          <w:lang w:val="en-US"/>
        </w:rPr>
      </w:pPr>
      <w:r w:rsidRPr="00F7309E">
        <w:rPr>
          <w:lang w:val="en-US"/>
        </w:rPr>
        <w:t>Mathur, R. «Comprehension of relative-correlative clause in early L1 (Hindi) of bilingually developing children» Bulletin of the Deccan College Post-Graduate and Research Institute, Vol. 78 (2018), pp. 153-162 URL:</w:t>
      </w:r>
      <w:hyperlink r:id="rId8" w:history="1">
        <w:r w:rsidR="00DF4FB6" w:rsidRPr="00F96F38">
          <w:rPr>
            <w:rStyle w:val="a6"/>
            <w:lang w:val="en-US"/>
          </w:rPr>
          <w:t>https://www.jstor.org/stable/10.2307/26915000</w:t>
        </w:r>
      </w:hyperlink>
      <w:r w:rsidRPr="00F7309E">
        <w:rPr>
          <w:rStyle w:val="a6"/>
          <w:lang w:val="en-US"/>
        </w:rPr>
        <w:t>.</w:t>
      </w:r>
    </w:p>
    <w:p w14:paraId="6F52DFD5" w14:textId="6B7C0D85" w:rsidR="00573392" w:rsidRPr="0050055C" w:rsidRDefault="00C8681D" w:rsidP="003E4BA7">
      <w:pPr>
        <w:pStyle w:val="a5"/>
        <w:numPr>
          <w:ilvl w:val="0"/>
          <w:numId w:val="3"/>
        </w:numPr>
        <w:spacing w:before="0" w:after="160"/>
        <w:rPr>
          <w:rFonts w:cs="Times New Roman"/>
          <w:szCs w:val="28"/>
          <w:shd w:val="clear" w:color="auto" w:fill="FFFFFF"/>
          <w:lang w:val="en-US"/>
        </w:rPr>
      </w:pPr>
      <w:r w:rsidRPr="00F7309E">
        <w:rPr>
          <w:lang w:val="en-US"/>
        </w:rPr>
        <w:t>Lau</w:t>
      </w:r>
      <w:r w:rsidR="00A73139" w:rsidRPr="00A73139">
        <w:rPr>
          <w:lang w:val="en-US"/>
        </w:rPr>
        <w:t xml:space="preserve"> </w:t>
      </w:r>
      <w:r w:rsidRPr="00F7309E">
        <w:rPr>
          <w:lang w:val="en-US"/>
        </w:rPr>
        <w:t>E</w:t>
      </w:r>
      <w:r w:rsidR="00A73139" w:rsidRPr="00A73139">
        <w:rPr>
          <w:lang w:val="en-US"/>
        </w:rPr>
        <w:t>.</w:t>
      </w:r>
      <w:r w:rsidRPr="00F7309E">
        <w:rPr>
          <w:lang w:val="en-US"/>
        </w:rPr>
        <w:t xml:space="preserve"> and Tanaka N. The subject advantage in relative clauses: A review. Glossa: a journal of general linguistics 6(1): 34. 2021. </w:t>
      </w:r>
      <w:r>
        <w:t>с</w:t>
      </w:r>
      <w:r w:rsidRPr="00F7309E">
        <w:rPr>
          <w:lang w:val="en-US"/>
        </w:rPr>
        <w:t xml:space="preserve"> 1–34. DOI: https://doi.org/10.5334/gjgl.1343.</w:t>
      </w:r>
    </w:p>
    <w:sectPr w:rsidR="00573392" w:rsidRPr="0050055C" w:rsidSect="006223C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26BD3" w14:textId="77777777" w:rsidR="00D12A34" w:rsidRDefault="00D12A34" w:rsidP="002A7476">
      <w:pPr>
        <w:spacing w:before="0" w:after="0"/>
      </w:pPr>
      <w:r>
        <w:separator/>
      </w:r>
    </w:p>
  </w:endnote>
  <w:endnote w:type="continuationSeparator" w:id="0">
    <w:p w14:paraId="229F135D" w14:textId="77777777" w:rsidR="00D12A34" w:rsidRDefault="00D12A34" w:rsidP="002A747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526F0" w14:textId="77777777" w:rsidR="00D12A34" w:rsidRDefault="00D12A34" w:rsidP="002A7476">
      <w:pPr>
        <w:spacing w:before="0" w:after="0"/>
      </w:pPr>
      <w:r>
        <w:separator/>
      </w:r>
    </w:p>
  </w:footnote>
  <w:footnote w:type="continuationSeparator" w:id="0">
    <w:p w14:paraId="3A740BE5" w14:textId="77777777" w:rsidR="00D12A34" w:rsidRDefault="00D12A34" w:rsidP="002A747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E7835"/>
    <w:multiLevelType w:val="hybridMultilevel"/>
    <w:tmpl w:val="11CAB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60C02"/>
    <w:multiLevelType w:val="hybridMultilevel"/>
    <w:tmpl w:val="C950A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02B89"/>
    <w:multiLevelType w:val="hybridMultilevel"/>
    <w:tmpl w:val="B18CE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243AF"/>
    <w:multiLevelType w:val="hybridMultilevel"/>
    <w:tmpl w:val="8332B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33D85"/>
    <w:multiLevelType w:val="hybridMultilevel"/>
    <w:tmpl w:val="D85AAA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0A"/>
    <w:rsid w:val="00046DFC"/>
    <w:rsid w:val="00047026"/>
    <w:rsid w:val="000D679D"/>
    <w:rsid w:val="00104A64"/>
    <w:rsid w:val="00253874"/>
    <w:rsid w:val="00262C73"/>
    <w:rsid w:val="002A7476"/>
    <w:rsid w:val="00334645"/>
    <w:rsid w:val="00385D18"/>
    <w:rsid w:val="003E4BA7"/>
    <w:rsid w:val="00431EF5"/>
    <w:rsid w:val="00496AF5"/>
    <w:rsid w:val="0050055C"/>
    <w:rsid w:val="00510C1E"/>
    <w:rsid w:val="00573392"/>
    <w:rsid w:val="005B7483"/>
    <w:rsid w:val="005E0D93"/>
    <w:rsid w:val="005E168E"/>
    <w:rsid w:val="0060369B"/>
    <w:rsid w:val="006223CC"/>
    <w:rsid w:val="00641B7F"/>
    <w:rsid w:val="00641BF9"/>
    <w:rsid w:val="00650724"/>
    <w:rsid w:val="006A2CA1"/>
    <w:rsid w:val="006D2936"/>
    <w:rsid w:val="007222A7"/>
    <w:rsid w:val="00753848"/>
    <w:rsid w:val="007C25AE"/>
    <w:rsid w:val="00836801"/>
    <w:rsid w:val="00874200"/>
    <w:rsid w:val="00937B0A"/>
    <w:rsid w:val="009A4BB1"/>
    <w:rsid w:val="00A03CC9"/>
    <w:rsid w:val="00A07867"/>
    <w:rsid w:val="00A1343C"/>
    <w:rsid w:val="00A73139"/>
    <w:rsid w:val="00AC6FD5"/>
    <w:rsid w:val="00AD38C6"/>
    <w:rsid w:val="00B5539C"/>
    <w:rsid w:val="00B5690C"/>
    <w:rsid w:val="00B7339B"/>
    <w:rsid w:val="00BA5339"/>
    <w:rsid w:val="00C8681D"/>
    <w:rsid w:val="00CE6F0F"/>
    <w:rsid w:val="00D12A34"/>
    <w:rsid w:val="00D71339"/>
    <w:rsid w:val="00DE3B56"/>
    <w:rsid w:val="00DF4FB6"/>
    <w:rsid w:val="00E328E3"/>
    <w:rsid w:val="00E5334F"/>
    <w:rsid w:val="00F26D6A"/>
    <w:rsid w:val="00F875A7"/>
    <w:rsid w:val="00F9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C698"/>
  <w15:chartTrackingRefBased/>
  <w15:docId w15:val="{126D297B-8925-44B6-90EF-9C5C65F5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vjq"/>
    <w:qFormat/>
    <w:rsid w:val="00334645"/>
    <w:pPr>
      <w:spacing w:before="120" w:after="12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реферата"/>
    <w:basedOn w:val="3"/>
    <w:link w:val="a4"/>
    <w:autoRedefine/>
    <w:qFormat/>
    <w:rsid w:val="00BA5339"/>
    <w:pPr>
      <w:spacing w:before="0" w:after="0"/>
      <w:ind w:firstLine="284"/>
    </w:pPr>
    <w:rPr>
      <w:rFonts w:cs="Times New Roman"/>
      <w:color w:val="000000"/>
      <w:spacing w:val="3"/>
      <w:sz w:val="28"/>
      <w:szCs w:val="28"/>
      <w:shd w:val="clear" w:color="auto" w:fill="FFFFFF"/>
      <w:lang w:bidi="hi-IN"/>
    </w:rPr>
  </w:style>
  <w:style w:type="character" w:customStyle="1" w:styleId="a4">
    <w:name w:val="для реферата Знак"/>
    <w:basedOn w:val="a0"/>
    <w:link w:val="a3"/>
    <w:rsid w:val="00BA5339"/>
    <w:rPr>
      <w:rFonts w:ascii="Times New Roman" w:hAnsi="Times New Roman" w:cs="Times New Roman"/>
      <w:color w:val="000000"/>
      <w:spacing w:val="3"/>
      <w:sz w:val="28"/>
      <w:szCs w:val="28"/>
      <w:lang w:bidi="hi-IN"/>
    </w:rPr>
  </w:style>
  <w:style w:type="paragraph" w:styleId="3">
    <w:name w:val="Body Text 3"/>
    <w:basedOn w:val="a"/>
    <w:link w:val="30"/>
    <w:uiPriority w:val="99"/>
    <w:semiHidden/>
    <w:unhideWhenUsed/>
    <w:rsid w:val="00BA5339"/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A5339"/>
    <w:rPr>
      <w:rFonts w:ascii="Times New Roman" w:hAnsi="Times New Roman"/>
      <w:sz w:val="16"/>
      <w:szCs w:val="16"/>
    </w:rPr>
  </w:style>
  <w:style w:type="paragraph" w:styleId="a5">
    <w:name w:val="List Paragraph"/>
    <w:basedOn w:val="a"/>
    <w:uiPriority w:val="34"/>
    <w:qFormat/>
    <w:rsid w:val="00F875A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E4BA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E4BA7"/>
    <w:rPr>
      <w:color w:val="605E5C"/>
      <w:shd w:val="clear" w:color="auto" w:fill="E1DFDD"/>
    </w:rPr>
  </w:style>
  <w:style w:type="paragraph" w:styleId="a8">
    <w:name w:val="footnote text"/>
    <w:basedOn w:val="a"/>
    <w:link w:val="a9"/>
    <w:uiPriority w:val="99"/>
    <w:semiHidden/>
    <w:unhideWhenUsed/>
    <w:rsid w:val="002A7476"/>
    <w:pPr>
      <w:spacing w:before="0" w:after="0"/>
      <w:ind w:firstLine="397"/>
      <w:jc w:val="both"/>
    </w:pPr>
    <w:rPr>
      <w:rFonts w:eastAsia="Calibri" w:cs="Mangal"/>
      <w:sz w:val="20"/>
      <w:szCs w:val="18"/>
      <w:lang w:bidi="hi-IN"/>
    </w:rPr>
  </w:style>
  <w:style w:type="character" w:customStyle="1" w:styleId="a9">
    <w:name w:val="Текст сноски Знак"/>
    <w:basedOn w:val="a0"/>
    <w:link w:val="a8"/>
    <w:uiPriority w:val="99"/>
    <w:semiHidden/>
    <w:rsid w:val="002A7476"/>
    <w:rPr>
      <w:rFonts w:ascii="Times New Roman" w:eastAsia="Calibri" w:hAnsi="Times New Roman" w:cs="Mangal"/>
      <w:sz w:val="20"/>
      <w:szCs w:val="18"/>
      <w:lang w:bidi="hi-IN"/>
    </w:rPr>
  </w:style>
  <w:style w:type="character" w:styleId="aa">
    <w:name w:val="footnote reference"/>
    <w:uiPriority w:val="99"/>
    <w:semiHidden/>
    <w:unhideWhenUsed/>
    <w:rsid w:val="002A7476"/>
    <w:rPr>
      <w:vertAlign w:val="superscript"/>
    </w:rPr>
  </w:style>
  <w:style w:type="paragraph" w:customStyle="1" w:styleId="ab">
    <w:name w:val="глос"/>
    <w:basedOn w:val="ac"/>
    <w:link w:val="ad"/>
    <w:qFormat/>
    <w:rsid w:val="00650724"/>
    <w:pPr>
      <w:spacing w:before="120" w:after="120"/>
      <w:jc w:val="both"/>
    </w:pPr>
    <w:rPr>
      <w:rFonts w:cs="Mangal"/>
      <w:sz w:val="28"/>
      <w:szCs w:val="20"/>
      <w:lang w:eastAsia="ru-RU" w:bidi="hi-IN"/>
    </w:rPr>
  </w:style>
  <w:style w:type="character" w:customStyle="1" w:styleId="ad">
    <w:name w:val="глос Знак"/>
    <w:basedOn w:val="a0"/>
    <w:link w:val="ab"/>
    <w:rsid w:val="00650724"/>
    <w:rPr>
      <w:rFonts w:ascii="Times New Roman" w:hAnsi="Times New Roman" w:cs="Mangal"/>
      <w:sz w:val="28"/>
      <w:szCs w:val="20"/>
      <w:lang w:eastAsia="ru-RU" w:bidi="hi-IN"/>
    </w:rPr>
  </w:style>
  <w:style w:type="paragraph" w:styleId="ac">
    <w:name w:val="No Spacing"/>
    <w:uiPriority w:val="1"/>
    <w:qFormat/>
    <w:rsid w:val="0065072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tor.org/stable/10.2307/269150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Губанова</dc:creator>
  <cp:keywords/>
  <dc:description/>
  <cp:lastModifiedBy>Нина Губанова</cp:lastModifiedBy>
  <cp:revision>7</cp:revision>
  <dcterms:created xsi:type="dcterms:W3CDTF">2023-01-27T11:03:00Z</dcterms:created>
  <dcterms:modified xsi:type="dcterms:W3CDTF">2024-02-15T20:38:00Z</dcterms:modified>
</cp:coreProperties>
</file>