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EB09" w14:textId="77777777" w:rsidR="00C977EB" w:rsidRDefault="003244AE">
      <w:pPr>
        <w:spacing w:after="0" w:line="216" w:lineRule="auto"/>
        <w:ind w:left="10" w:right="0" w:hanging="10"/>
        <w:jc w:val="center"/>
      </w:pPr>
      <w:r>
        <w:rPr>
          <w:sz w:val="29"/>
        </w:rPr>
        <w:t>Применение методов компьютерного зрения для количественного анализа микробиоты в измененной среде</w:t>
      </w:r>
    </w:p>
    <w:p w14:paraId="4CB9C309" w14:textId="77777777" w:rsidR="00C977EB" w:rsidRDefault="003244AE">
      <w:pPr>
        <w:spacing w:after="246" w:line="216" w:lineRule="auto"/>
        <w:ind w:left="10" w:right="0" w:hanging="10"/>
        <w:jc w:val="center"/>
      </w:pPr>
      <w:r>
        <w:rPr>
          <w:sz w:val="29"/>
        </w:rPr>
        <w:t>обитания</w:t>
      </w:r>
    </w:p>
    <w:p w14:paraId="29CB5EA7" w14:textId="77777777" w:rsidR="00C977EB" w:rsidRDefault="003244AE">
      <w:pPr>
        <w:spacing w:after="247"/>
        <w:ind w:left="-15" w:right="0" w:firstLine="0"/>
      </w:pPr>
      <w:r>
        <w:rPr>
          <w:i/>
        </w:rPr>
        <w:t xml:space="preserve">Ключевые слова — </w:t>
      </w:r>
      <w:r>
        <w:t>обработка изображений, сегментация, классификация, фильтрация изображения, нейронные сети</w:t>
      </w:r>
    </w:p>
    <w:p w14:paraId="71F7D85B" w14:textId="18F34825" w:rsidR="00C977EB" w:rsidRDefault="003244AE">
      <w:pPr>
        <w:ind w:left="-15" w:right="0"/>
      </w:pPr>
      <w:r>
        <w:t>Жизнедеятельность человека в космосе</w:t>
      </w:r>
      <w:r w:rsidR="00F40425">
        <w:t xml:space="preserve"> </w:t>
      </w:r>
      <w:r>
        <w:t>является типичным примером жизнедеятельности в замкнутой среде обитания. Замкнутая среда обитания является провокатором различных дисбиотических состояний и может впоследствии быстро развиться в оппортунистическую (особо опасную) инфекцию. Особенно это актуально для профессий, связанных с экстремальными факторами воздействия внешней среды (водолазы, спасатели, работники крайнего Севера, космонавты и др.).</w:t>
      </w:r>
    </w:p>
    <w:p w14:paraId="4C340CCD" w14:textId="77777777" w:rsidR="00C977EB" w:rsidRDefault="003244AE">
      <w:pPr>
        <w:ind w:left="-15" w:right="0"/>
      </w:pPr>
      <w:r>
        <w:t>Данная тема является актуальной, так как члены экипажа КА могут самостоятельно отбирать пробы различных биотопов организма и в виде электронных фотоснимков отправлять их на Землю для последующего анализа в лаборатории врачами и микробиологами. Исследования ведутся в лаборатории микробной экологии человека ИМБП РАН под руководством чл.-корр. В.К.Ильина. Одной из проблем, разрабатываемых в ходе программы работы на МКС и наземных модельных экспериментах является дистанционное исследование динамики микробиоты в</w:t>
      </w:r>
      <w:r>
        <w:t xml:space="preserve"> условиях замкнутой измененной среды обитания [1].</w:t>
      </w:r>
    </w:p>
    <w:p w14:paraId="25CB5653" w14:textId="6C1894E9" w:rsidR="00C977EB" w:rsidRDefault="003244AE" w:rsidP="00BF084A">
      <w:pPr>
        <w:ind w:left="-15" w:right="0"/>
      </w:pPr>
      <w:r>
        <w:t>Входными данными в данной работе являются фотографии, на которых изображен набор микроорганизмов (бактерий) под микроскопом. Для выделения бактерий на фоне изображения и для их анализа применена окраска по методу Грама [2].</w:t>
      </w:r>
      <w:r w:rsidR="00BF084A">
        <w:t xml:space="preserve"> </w:t>
      </w:r>
      <w:r>
        <w:t>Особенностью поступающих на вход изображений является то, что характерный диаметр микроорганизмов зачастую не превышает пары десятков микрометров, что ведет к их крайне малому видимому размеру на изображении (порядка 20-30 пикселей).</w:t>
      </w:r>
    </w:p>
    <w:p w14:paraId="04BB788F" w14:textId="77777777" w:rsidR="00C977EB" w:rsidRDefault="003244AE">
      <w:pPr>
        <w:spacing w:after="95"/>
        <w:ind w:left="-15" w:right="0"/>
      </w:pPr>
      <w:r>
        <w:t>В работе используется один из алгоритмов распознавания множественных объектов на изображении, восходящий к работам [3], [4]. Алгоритм содержит следующие шаги:</w:t>
      </w:r>
    </w:p>
    <w:p w14:paraId="270CC797" w14:textId="77777777" w:rsidR="00C977EB" w:rsidRDefault="003244AE">
      <w:pPr>
        <w:numPr>
          <w:ilvl w:val="0"/>
          <w:numId w:val="1"/>
        </w:numPr>
        <w:spacing w:after="137"/>
        <w:ind w:right="0" w:hanging="286"/>
      </w:pPr>
      <w:r>
        <w:t>Получение изображения</w:t>
      </w:r>
    </w:p>
    <w:p w14:paraId="3051A3D4" w14:textId="77777777" w:rsidR="00C977EB" w:rsidRDefault="003244AE">
      <w:pPr>
        <w:numPr>
          <w:ilvl w:val="0"/>
          <w:numId w:val="1"/>
        </w:numPr>
        <w:spacing w:after="137"/>
        <w:ind w:right="0" w:hanging="286"/>
      </w:pPr>
      <w:r>
        <w:t>Обработка входящего изображения</w:t>
      </w:r>
    </w:p>
    <w:p w14:paraId="4706C9CB" w14:textId="77777777" w:rsidR="00C977EB" w:rsidRDefault="003244AE">
      <w:pPr>
        <w:numPr>
          <w:ilvl w:val="0"/>
          <w:numId w:val="1"/>
        </w:numPr>
        <w:spacing w:after="137"/>
        <w:ind w:right="0" w:hanging="286"/>
      </w:pPr>
      <w:r>
        <w:t>Сегментация изображения</w:t>
      </w:r>
    </w:p>
    <w:p w14:paraId="6A78390D" w14:textId="77777777" w:rsidR="00C977EB" w:rsidRDefault="003244AE">
      <w:pPr>
        <w:numPr>
          <w:ilvl w:val="0"/>
          <w:numId w:val="1"/>
        </w:numPr>
        <w:spacing w:after="137"/>
        <w:ind w:right="0" w:hanging="286"/>
      </w:pPr>
      <w:r>
        <w:t>Получение признаков из сегментированного изображения</w:t>
      </w:r>
    </w:p>
    <w:p w14:paraId="21318C6E" w14:textId="77777777" w:rsidR="00C977EB" w:rsidRDefault="003244AE">
      <w:pPr>
        <w:numPr>
          <w:ilvl w:val="0"/>
          <w:numId w:val="1"/>
        </w:numPr>
        <w:spacing w:after="140"/>
        <w:ind w:right="0" w:hanging="286"/>
      </w:pPr>
      <w:r>
        <w:t>Обучение классификатора на имеющихся признаках (или непосредственная классификация объекта по полученным признакам)</w:t>
      </w:r>
    </w:p>
    <w:p w14:paraId="04E5103C" w14:textId="77777777" w:rsidR="00C977EB" w:rsidRDefault="003244AE">
      <w:pPr>
        <w:numPr>
          <w:ilvl w:val="0"/>
          <w:numId w:val="1"/>
        </w:numPr>
        <w:spacing w:after="119"/>
        <w:ind w:right="0" w:hanging="286"/>
      </w:pPr>
      <w:r>
        <w:t>Формирование выходного изображения</w:t>
      </w:r>
    </w:p>
    <w:p w14:paraId="62AC9115" w14:textId="0E9B96C1" w:rsidR="00C977EB" w:rsidRDefault="003244AE">
      <w:pPr>
        <w:ind w:left="-15" w:right="0"/>
      </w:pPr>
      <w:r>
        <w:t xml:space="preserve">На вход программы поступают цветные изображения размера </w:t>
      </w:r>
      <w:r>
        <w:rPr>
          <w:rFonts w:ascii="Cambria" w:eastAsia="Cambria" w:hAnsi="Cambria" w:cs="Cambria"/>
        </w:rPr>
        <w:t xml:space="preserve">1616×1216 </w:t>
      </w:r>
      <w:r>
        <w:t xml:space="preserve">в трех цветовых каналах (RGB). </w:t>
      </w:r>
    </w:p>
    <w:p w14:paraId="1146B0D1" w14:textId="77777777" w:rsidR="00C977EB" w:rsidRDefault="003244AE">
      <w:pPr>
        <w:spacing w:after="95"/>
        <w:ind w:left="-15" w:right="0"/>
      </w:pPr>
      <w:r>
        <w:t>После обзора и проведенного исследования принято решение придерживаться следующего алгоритма обработки входного изображения:</w:t>
      </w:r>
    </w:p>
    <w:p w14:paraId="5FFA01C3" w14:textId="62047994" w:rsidR="00C977EB" w:rsidRDefault="003244AE">
      <w:pPr>
        <w:numPr>
          <w:ilvl w:val="0"/>
          <w:numId w:val="2"/>
        </w:numPr>
        <w:spacing w:after="137"/>
        <w:ind w:right="0" w:hanging="286"/>
      </w:pPr>
      <w:r>
        <w:t>Перевод оригинального трехканального изображения в один определенный канал</w:t>
      </w:r>
      <w:r w:rsidR="0035502C">
        <w:t xml:space="preserve"> (зеленый)</w:t>
      </w:r>
    </w:p>
    <w:p w14:paraId="16C66B1E" w14:textId="77777777" w:rsidR="0035502C" w:rsidRDefault="0035502C" w:rsidP="0035502C">
      <w:pPr>
        <w:numPr>
          <w:ilvl w:val="0"/>
          <w:numId w:val="2"/>
        </w:numPr>
        <w:spacing w:after="166"/>
        <w:ind w:right="0" w:hanging="286"/>
      </w:pPr>
      <w:r>
        <w:t>Применение билатерального фильтра</w:t>
      </w:r>
    </w:p>
    <w:p w14:paraId="31E87D8A" w14:textId="77777777" w:rsidR="0035502C" w:rsidRDefault="0035502C" w:rsidP="0035502C">
      <w:pPr>
        <w:numPr>
          <w:ilvl w:val="0"/>
          <w:numId w:val="2"/>
        </w:numPr>
        <w:spacing w:after="166"/>
        <w:ind w:right="0" w:hanging="286"/>
      </w:pPr>
      <w:r>
        <w:t>Пороговая обработка при помощи алгоритма треугольника (triangle algorithm) [5]</w:t>
      </w:r>
    </w:p>
    <w:p w14:paraId="6FC68C2A" w14:textId="77777777" w:rsidR="00C977EB" w:rsidRDefault="003244AE">
      <w:pPr>
        <w:ind w:left="-15" w:right="0"/>
      </w:pPr>
      <w:r>
        <w:t>В качестве алгоритма сегментации рассматривались традиционные алгоритмы (к примеру алгоритм водораздела), так и алгоритмы, включающие в себя элементы машинного обучения [6].</w:t>
      </w:r>
    </w:p>
    <w:p w14:paraId="19381A6A" w14:textId="45CE9F24" w:rsidR="00C977EB" w:rsidRDefault="003244AE" w:rsidP="00F40425">
      <w:pPr>
        <w:ind w:left="-15" w:right="0"/>
      </w:pPr>
      <w:r>
        <w:t>В данной работе в качестве классификатора сегментированных изображений используется</w:t>
      </w:r>
      <w:r w:rsidR="00F40425">
        <w:t xml:space="preserve"> </w:t>
      </w:r>
      <w:r>
        <w:t>нейронная сеть.</w:t>
      </w:r>
      <w:r w:rsidR="00F40425">
        <w:t xml:space="preserve"> </w:t>
      </w:r>
      <w:r>
        <w:t>Проведены эксперименты с двумя типами архитектур: PreActResNet [7] и MobileNet [8]. После множественных запусков и проверок, было принято решение остановиться на одной из модификаций MobileNetV2. Данная модель смогла показать наилучшие результаты из всех имеющихся после её применения на изображениях.</w:t>
      </w:r>
    </w:p>
    <w:p w14:paraId="185A1519" w14:textId="77777777" w:rsidR="00C977EB" w:rsidRDefault="003244AE">
      <w:pPr>
        <w:ind w:left="-15" w:right="0"/>
      </w:pPr>
      <w:r>
        <w:t>Помимо самого алгоритма, создан прототип графического интерфейса, позволяющий пользователю загрузить изображение, обработать его, увидеть необходимую статистику, сохранить обработанное изображение для последующего анализа.</w:t>
      </w:r>
    </w:p>
    <w:p w14:paraId="2F90409A" w14:textId="237B4292" w:rsidR="00C977EB" w:rsidRDefault="00C977EB" w:rsidP="0035502C">
      <w:pPr>
        <w:spacing w:after="486"/>
        <w:ind w:left="0" w:right="0" w:firstLine="0"/>
      </w:pPr>
    </w:p>
    <w:p w14:paraId="4C0B1701" w14:textId="77777777" w:rsidR="00C977EB" w:rsidRDefault="003244AE">
      <w:pPr>
        <w:spacing w:after="227" w:line="259" w:lineRule="auto"/>
        <w:ind w:left="0" w:right="20" w:firstLine="0"/>
        <w:jc w:val="center"/>
      </w:pPr>
      <w:r>
        <w:rPr>
          <w:i/>
        </w:rPr>
        <w:t>Литература</w:t>
      </w:r>
    </w:p>
    <w:p w14:paraId="607E7101" w14:textId="77777777" w:rsidR="00C977EB" w:rsidRDefault="003244AE">
      <w:pPr>
        <w:numPr>
          <w:ilvl w:val="0"/>
          <w:numId w:val="4"/>
        </w:numPr>
        <w:spacing w:after="192"/>
        <w:ind w:right="0" w:hanging="346"/>
      </w:pPr>
      <w:r>
        <w:t xml:space="preserve">З. O. Соловьёва, B. K. Ильин, and A. M. Носовский, “Технологии обработки данных при анализе изображений микробных клеток,” </w:t>
      </w:r>
      <w:r>
        <w:rPr>
          <w:i/>
        </w:rPr>
        <w:t>Технологии живых систем</w:t>
      </w:r>
      <w:r>
        <w:t>, vol. 7, no. 2, pp. 38–43, 2010.</w:t>
      </w:r>
    </w:p>
    <w:p w14:paraId="6DC225ED" w14:textId="77777777" w:rsidR="00C977EB" w:rsidRDefault="003244AE">
      <w:pPr>
        <w:numPr>
          <w:ilvl w:val="0"/>
          <w:numId w:val="4"/>
        </w:numPr>
        <w:spacing w:after="199" w:line="252" w:lineRule="auto"/>
        <w:ind w:right="0" w:hanging="346"/>
      </w:pPr>
      <w:r>
        <w:t xml:space="preserve">A. C. Лабинская, </w:t>
      </w:r>
      <w:r>
        <w:rPr>
          <w:i/>
        </w:rPr>
        <w:t>Микробиология с техникой микробиологических исследований</w:t>
      </w:r>
      <w:r>
        <w:t>. М.:Медицина, 1978.</w:t>
      </w:r>
    </w:p>
    <w:p w14:paraId="4C35EAE2" w14:textId="77777777" w:rsidR="00C977EB" w:rsidRPr="00F40425" w:rsidRDefault="003244AE">
      <w:pPr>
        <w:numPr>
          <w:ilvl w:val="0"/>
          <w:numId w:val="4"/>
        </w:numPr>
        <w:spacing w:after="193"/>
        <w:ind w:right="0" w:hanging="346"/>
        <w:rPr>
          <w:lang w:val="en-US"/>
        </w:rPr>
      </w:pPr>
      <w:r w:rsidRPr="00F40425">
        <w:rPr>
          <w:lang w:val="en-US"/>
        </w:rPr>
        <w:t xml:space="preserve">N. A. Mohamad, N. A. Jusoh, Z. Z. Htike, S. L. Win, </w:t>
      </w:r>
      <w:r w:rsidRPr="00F40425">
        <w:rPr>
          <w:i/>
          <w:lang w:val="en-US"/>
        </w:rPr>
        <w:t>et al.</w:t>
      </w:r>
      <w:r w:rsidRPr="00F40425">
        <w:rPr>
          <w:lang w:val="en-US"/>
        </w:rPr>
        <w:t xml:space="preserve">, “Bacteria identification from microscopic morphology: a survey,” </w:t>
      </w:r>
      <w:r w:rsidRPr="00F40425">
        <w:rPr>
          <w:i/>
          <w:lang w:val="en-US"/>
        </w:rPr>
        <w:t>International Journal on Soft Computing, Artificial Intelligence and Applications (IJSCAI)</w:t>
      </w:r>
      <w:r w:rsidRPr="00F40425">
        <w:rPr>
          <w:lang w:val="en-US"/>
        </w:rPr>
        <w:t>, vol. 3, no. 1, pp. 2319–1015, 2014.</w:t>
      </w:r>
    </w:p>
    <w:p w14:paraId="4B80CE9F" w14:textId="77777777" w:rsidR="00C977EB" w:rsidRPr="00F40425" w:rsidRDefault="003244AE">
      <w:pPr>
        <w:numPr>
          <w:ilvl w:val="0"/>
          <w:numId w:val="4"/>
        </w:numPr>
        <w:spacing w:after="192"/>
        <w:ind w:right="0" w:hanging="346"/>
        <w:rPr>
          <w:lang w:val="en-US"/>
        </w:rPr>
      </w:pPr>
      <w:r w:rsidRPr="00F40425">
        <w:rPr>
          <w:lang w:val="en-US"/>
        </w:rPr>
        <w:t xml:space="preserve">H. Yang, W. Liu, K. Xing, J. Qiao, X. Wang, L. Gao, and Z. Shen, “Research on insect identification based on pattern recognition technology,” in </w:t>
      </w:r>
      <w:r w:rsidRPr="00F40425">
        <w:rPr>
          <w:i/>
          <w:lang w:val="en-US"/>
        </w:rPr>
        <w:t>2010 Sixth International Conference on Natural Computation</w:t>
      </w:r>
      <w:r w:rsidRPr="00F40425">
        <w:rPr>
          <w:lang w:val="en-US"/>
        </w:rPr>
        <w:t>, vol. 2, pp. 545–548, IEEE, 2010.</w:t>
      </w:r>
    </w:p>
    <w:p w14:paraId="27838088" w14:textId="77777777" w:rsidR="00C977EB" w:rsidRPr="00F40425" w:rsidRDefault="003244AE">
      <w:pPr>
        <w:numPr>
          <w:ilvl w:val="0"/>
          <w:numId w:val="4"/>
        </w:numPr>
        <w:ind w:right="0" w:hanging="346"/>
        <w:rPr>
          <w:lang w:val="en-US"/>
        </w:rPr>
      </w:pPr>
      <w:r w:rsidRPr="00F40425">
        <w:rPr>
          <w:lang w:val="en-US"/>
        </w:rPr>
        <w:lastRenderedPageBreak/>
        <w:t xml:space="preserve">G. W. Zack, W. E. Rogers, and S. A. Latt, “Automatic measurement of sister chromatid exchange frequency.,” </w:t>
      </w:r>
      <w:r w:rsidRPr="00F40425">
        <w:rPr>
          <w:i/>
          <w:lang w:val="en-US"/>
        </w:rPr>
        <w:t>Journal of Histochemistry &amp; Cytochemistry</w:t>
      </w:r>
      <w:r w:rsidRPr="00F40425">
        <w:rPr>
          <w:lang w:val="en-US"/>
        </w:rPr>
        <w:t>, vol. 25, no. 7, pp. 741– 753, 1977.</w:t>
      </w:r>
    </w:p>
    <w:p w14:paraId="7AE6A1EB" w14:textId="77777777" w:rsidR="00C977EB" w:rsidRPr="00F40425" w:rsidRDefault="003244AE">
      <w:pPr>
        <w:numPr>
          <w:ilvl w:val="0"/>
          <w:numId w:val="4"/>
        </w:numPr>
        <w:spacing w:after="204"/>
        <w:ind w:right="0" w:hanging="346"/>
        <w:rPr>
          <w:lang w:val="en-US"/>
        </w:rPr>
      </w:pPr>
      <w:r w:rsidRPr="00F40425">
        <w:rPr>
          <w:lang w:val="en-US"/>
        </w:rPr>
        <w:t xml:space="preserve">K. J. Cutler, C. Stringer, T. W. Lo, L. Rappez, N. Stroustrup, S. Brook Peterson, P. A. Wiggins, and J. D. Mougous, “Omnipose: a high-precision morphology-independent solution for bacterial cell segmentation,” </w:t>
      </w:r>
      <w:r w:rsidRPr="00F40425">
        <w:rPr>
          <w:i/>
          <w:lang w:val="en-US"/>
        </w:rPr>
        <w:t>Nature methods</w:t>
      </w:r>
      <w:r w:rsidRPr="00F40425">
        <w:rPr>
          <w:lang w:val="en-US"/>
        </w:rPr>
        <w:t>, vol. 19, no. 11, pp. 1438–1448, 2022.</w:t>
      </w:r>
    </w:p>
    <w:p w14:paraId="7CDE9D44" w14:textId="77777777" w:rsidR="00C977EB" w:rsidRPr="00F40425" w:rsidRDefault="003244AE">
      <w:pPr>
        <w:numPr>
          <w:ilvl w:val="0"/>
          <w:numId w:val="4"/>
        </w:numPr>
        <w:spacing w:after="199" w:line="252" w:lineRule="auto"/>
        <w:ind w:right="0" w:hanging="346"/>
        <w:rPr>
          <w:lang w:val="en-US"/>
        </w:rPr>
      </w:pPr>
      <w:r w:rsidRPr="00F40425">
        <w:rPr>
          <w:lang w:val="en-US"/>
        </w:rPr>
        <w:t xml:space="preserve">K. He, X. Zhang, S. Ren, and J. Sun, “Identity mappings in deep residual networks,” in </w:t>
      </w:r>
      <w:r w:rsidRPr="00F40425">
        <w:rPr>
          <w:i/>
          <w:lang w:val="en-US"/>
        </w:rPr>
        <w:t>Computer Vision–ECCV 2016: 14th European Conference, Amsterdam, The Netherlands, October 11–14, 2016, Proceedings, Part IV 14</w:t>
      </w:r>
      <w:r w:rsidRPr="00F40425">
        <w:rPr>
          <w:lang w:val="en-US"/>
        </w:rPr>
        <w:t>, pp. 630–645, Springer, 2016.</w:t>
      </w:r>
    </w:p>
    <w:p w14:paraId="71CEC820" w14:textId="5CED4E8E" w:rsidR="00C977EB" w:rsidRPr="003244AE" w:rsidRDefault="003244AE" w:rsidP="003244AE">
      <w:pPr>
        <w:numPr>
          <w:ilvl w:val="0"/>
          <w:numId w:val="4"/>
        </w:numPr>
        <w:spacing w:after="248"/>
        <w:ind w:right="0" w:hanging="346"/>
        <w:rPr>
          <w:lang w:val="en-US"/>
        </w:rPr>
      </w:pPr>
      <w:r w:rsidRPr="00F40425">
        <w:rPr>
          <w:lang w:val="en-US"/>
        </w:rPr>
        <w:t xml:space="preserve">A. G. Howard, M. Zhu, B. Chen, D. Kalenichenko, W. Wang, T. Weyand, M. Andreetto, and H. Adam, “Mobilenets: Efficient convolutional neural networks for mobile vision applications,” </w:t>
      </w:r>
      <w:r w:rsidRPr="00F40425">
        <w:rPr>
          <w:i/>
          <w:lang w:val="en-US"/>
        </w:rPr>
        <w:t>arXiv preprint arXiv:1704.04861</w:t>
      </w:r>
      <w:r w:rsidRPr="00F40425">
        <w:rPr>
          <w:lang w:val="en-US"/>
        </w:rPr>
        <w:t>, 2017.</w:t>
      </w:r>
    </w:p>
    <w:sectPr w:rsidR="00C977EB" w:rsidRPr="003244AE">
      <w:footerReference w:type="even" r:id="rId7"/>
      <w:footerReference w:type="default" r:id="rId8"/>
      <w:footerReference w:type="first" r:id="rId9"/>
      <w:pgSz w:w="11906" w:h="16838"/>
      <w:pgMar w:top="1255" w:right="1344" w:bottom="1407" w:left="1491" w:header="72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8922" w14:textId="77777777" w:rsidR="003244AE" w:rsidRDefault="003244AE">
      <w:pPr>
        <w:spacing w:after="0" w:line="240" w:lineRule="auto"/>
      </w:pPr>
      <w:r>
        <w:separator/>
      </w:r>
    </w:p>
  </w:endnote>
  <w:endnote w:type="continuationSeparator" w:id="0">
    <w:p w14:paraId="4C320B2E" w14:textId="77777777" w:rsidR="003244AE" w:rsidRDefault="0032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E162" w14:textId="77777777" w:rsidR="00C977EB" w:rsidRDefault="003244A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50EC" w14:textId="77777777" w:rsidR="00C977EB" w:rsidRDefault="003244A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905D" w14:textId="77777777" w:rsidR="00C977EB" w:rsidRDefault="003244AE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5FD5" w14:textId="77777777" w:rsidR="003244AE" w:rsidRDefault="003244AE">
      <w:pPr>
        <w:spacing w:after="0" w:line="240" w:lineRule="auto"/>
      </w:pPr>
      <w:r>
        <w:separator/>
      </w:r>
    </w:p>
  </w:footnote>
  <w:footnote w:type="continuationSeparator" w:id="0">
    <w:p w14:paraId="0A4A8564" w14:textId="77777777" w:rsidR="003244AE" w:rsidRDefault="0032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EF3"/>
    <w:multiLevelType w:val="hybridMultilevel"/>
    <w:tmpl w:val="F99A332C"/>
    <w:lvl w:ilvl="0" w:tplc="902A24F6">
      <w:start w:val="1"/>
      <w:numFmt w:val="decimal"/>
      <w:lvlText w:val="[%1]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4C4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E6B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21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CA1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EC6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0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E2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03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17A99"/>
    <w:multiLevelType w:val="hybridMultilevel"/>
    <w:tmpl w:val="09D698C2"/>
    <w:lvl w:ilvl="0" w:tplc="D2BE4F2C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ACC32">
      <w:start w:val="1"/>
      <w:numFmt w:val="lowerLetter"/>
      <w:lvlText w:val="%2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CB16A">
      <w:start w:val="1"/>
      <w:numFmt w:val="lowerRoman"/>
      <w:lvlText w:val="%3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2D7B8">
      <w:start w:val="1"/>
      <w:numFmt w:val="decimal"/>
      <w:lvlText w:val="%4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E886E">
      <w:start w:val="1"/>
      <w:numFmt w:val="lowerLetter"/>
      <w:lvlText w:val="%5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7A6C">
      <w:start w:val="1"/>
      <w:numFmt w:val="lowerRoman"/>
      <w:lvlText w:val="%6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4C902">
      <w:start w:val="1"/>
      <w:numFmt w:val="decimal"/>
      <w:lvlText w:val="%7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E6114">
      <w:start w:val="1"/>
      <w:numFmt w:val="lowerLetter"/>
      <w:lvlText w:val="%8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4755C">
      <w:start w:val="1"/>
      <w:numFmt w:val="lowerRoman"/>
      <w:lvlText w:val="%9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06348"/>
    <w:multiLevelType w:val="hybridMultilevel"/>
    <w:tmpl w:val="3188BE4A"/>
    <w:lvl w:ilvl="0" w:tplc="CEB44DB8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2630A">
      <w:start w:val="1"/>
      <w:numFmt w:val="lowerLetter"/>
      <w:lvlText w:val="%2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2F97C">
      <w:start w:val="1"/>
      <w:numFmt w:val="lowerRoman"/>
      <w:lvlText w:val="%3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AE536">
      <w:start w:val="1"/>
      <w:numFmt w:val="decimal"/>
      <w:lvlText w:val="%4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86622">
      <w:start w:val="1"/>
      <w:numFmt w:val="lowerLetter"/>
      <w:lvlText w:val="%5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F8AF34">
      <w:start w:val="1"/>
      <w:numFmt w:val="lowerRoman"/>
      <w:lvlText w:val="%6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41F68">
      <w:start w:val="1"/>
      <w:numFmt w:val="decimal"/>
      <w:lvlText w:val="%7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43B46">
      <w:start w:val="1"/>
      <w:numFmt w:val="lowerLetter"/>
      <w:lvlText w:val="%8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14169C">
      <w:start w:val="1"/>
      <w:numFmt w:val="lowerRoman"/>
      <w:lvlText w:val="%9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80ACC"/>
    <w:multiLevelType w:val="hybridMultilevel"/>
    <w:tmpl w:val="C15A3A08"/>
    <w:lvl w:ilvl="0" w:tplc="96A0FD68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4FF5E">
      <w:start w:val="1"/>
      <w:numFmt w:val="lowerLetter"/>
      <w:lvlText w:val="%2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EA5CE">
      <w:start w:val="1"/>
      <w:numFmt w:val="lowerRoman"/>
      <w:lvlText w:val="%3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A10B8">
      <w:start w:val="1"/>
      <w:numFmt w:val="decimal"/>
      <w:lvlText w:val="%4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A53DA">
      <w:start w:val="1"/>
      <w:numFmt w:val="lowerLetter"/>
      <w:lvlText w:val="%5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007C0">
      <w:start w:val="1"/>
      <w:numFmt w:val="lowerRoman"/>
      <w:lvlText w:val="%6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C0E98">
      <w:start w:val="1"/>
      <w:numFmt w:val="decimal"/>
      <w:lvlText w:val="%7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0A0DA">
      <w:start w:val="1"/>
      <w:numFmt w:val="lowerLetter"/>
      <w:lvlText w:val="%8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40CAE">
      <w:start w:val="1"/>
      <w:numFmt w:val="lowerRoman"/>
      <w:lvlText w:val="%9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1758619">
    <w:abstractNumId w:val="1"/>
  </w:num>
  <w:num w:numId="2" w16cid:durableId="319433674">
    <w:abstractNumId w:val="2"/>
  </w:num>
  <w:num w:numId="3" w16cid:durableId="958753961">
    <w:abstractNumId w:val="3"/>
  </w:num>
  <w:num w:numId="4" w16cid:durableId="128812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EB"/>
    <w:rsid w:val="003244AE"/>
    <w:rsid w:val="0035502C"/>
    <w:rsid w:val="00BF084A"/>
    <w:rsid w:val="00C977EB"/>
    <w:rsid w:val="00F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37DB"/>
  <w15:docId w15:val="{AE271193-656A-4D78-91D0-360B575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5" w:lineRule="auto"/>
      <w:ind w:left="585" w:right="585" w:firstLine="341"/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3" w:line="259" w:lineRule="auto"/>
      <w:ind w:right="34"/>
      <w:jc w:val="center"/>
      <w:outlineLvl w:val="0"/>
    </w:pPr>
    <w:rPr>
      <w:rFonts w:ascii="Calibri" w:eastAsia="Calibri" w:hAnsi="Calibri" w:cs="Calibri"/>
      <w:i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29"/>
    </w:rPr>
  </w:style>
  <w:style w:type="paragraph" w:styleId="a3">
    <w:name w:val="header"/>
    <w:basedOn w:val="a"/>
    <w:link w:val="a4"/>
    <w:uiPriority w:val="99"/>
    <w:unhideWhenUsed/>
    <w:rsid w:val="00BF0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84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Kuznetsov</dc:creator>
  <cp:keywords/>
  <cp:lastModifiedBy>Egor Kuznetsov</cp:lastModifiedBy>
  <cp:revision>8</cp:revision>
  <dcterms:created xsi:type="dcterms:W3CDTF">2024-02-14T21:00:00Z</dcterms:created>
  <dcterms:modified xsi:type="dcterms:W3CDTF">2024-02-14T21:02:00Z</dcterms:modified>
</cp:coreProperties>
</file>