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91"/>
        <w:ind w:firstLine="518" w:firstLineChars="209"/>
        <w:jc w:val="left"/>
        <w:rPr>
          <w:rFonts w:hint="default" w:ascii="Times New Roman" w:hAnsi="Times New Roman" w:eastAsia="宋体" w:cs="Times New Roman"/>
          <w:lang w:val="ru-RU" w:eastAsia="zh-CN"/>
        </w:rPr>
      </w:pPr>
      <w:r>
        <w:rPr>
          <w:rFonts w:hint="default" w:ascii="Times New Roman" w:hAnsi="Times New Roman" w:cs="Times New Roman"/>
          <w:spacing w:val="-2"/>
          <w:w w:val="105"/>
        </w:rPr>
        <w:t>Секция</w:t>
      </w:r>
      <w:r>
        <w:rPr>
          <w:rFonts w:hint="default" w:ascii="Times New Roman" w:hAnsi="Times New Roman" w:cs="Times New Roman"/>
          <w:spacing w:val="8"/>
          <w:w w:val="105"/>
        </w:rPr>
        <w:t xml:space="preserve"> </w:t>
      </w:r>
      <w:r>
        <w:rPr>
          <w:rFonts w:hint="default" w:ascii="Times New Roman" w:hAnsi="Times New Roman" w:cs="Times New Roman"/>
          <w:spacing w:val="-2"/>
          <w:w w:val="105"/>
        </w:rPr>
        <w:t>«</w:t>
      </w:r>
      <w:r>
        <w:rPr>
          <w:rFonts w:hint="default" w:ascii="Times New Roman" w:hAnsi="Times New Roman" w:eastAsia="宋体" w:cs="Times New Roman"/>
          <w:spacing w:val="-2"/>
          <w:w w:val="105"/>
          <w:lang w:val="en-US" w:eastAsia="zh-CN"/>
        </w:rPr>
        <w:t>Экономическая и финансовая стратегия в условиях современной экономики»</w:t>
      </w:r>
    </w:p>
    <w:p>
      <w:pPr>
        <w:pStyle w:val="2"/>
        <w:spacing w:line="510" w:lineRule="atLeast"/>
        <w:ind w:left="804" w:right="812"/>
        <w:rPr>
          <w:rFonts w:hint="default" w:ascii="Times New Roman" w:hAnsi="Times New Roman" w:cs="Times New Roman"/>
          <w:w w:val="105"/>
        </w:rPr>
      </w:pPr>
      <w:r>
        <w:rPr>
          <w:rFonts w:hint="default" w:ascii="Times New Roman" w:hAnsi="Times New Roman" w:cs="Times New Roman"/>
          <w:w w:val="105"/>
        </w:rPr>
        <w:t>Особенности формирования</w:t>
      </w:r>
      <w:r>
        <w:rPr>
          <w:rFonts w:hint="default" w:ascii="Times New Roman" w:hAnsi="Times New Roman" w:cs="Times New Roman"/>
          <w:w w:val="105"/>
          <w:lang w:val="ru-RU"/>
        </w:rPr>
        <w:t xml:space="preserve"> </w:t>
      </w:r>
      <w:r>
        <w:rPr>
          <w:rFonts w:hint="default" w:ascii="Times New Roman" w:hAnsi="Times New Roman" w:cs="Times New Roman"/>
          <w:w w:val="105"/>
        </w:rPr>
        <w:t>экономической стратегии совместных российско-китайских промышленных предприятий</w:t>
      </w:r>
    </w:p>
    <w:p>
      <w:pPr>
        <w:pStyle w:val="2"/>
        <w:spacing w:line="510" w:lineRule="atLeast"/>
        <w:ind w:left="804" w:right="812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w w:val="105"/>
        </w:rPr>
        <w:t>Научный</w:t>
      </w:r>
      <w:r>
        <w:rPr>
          <w:rFonts w:hint="default" w:ascii="Times New Roman" w:hAnsi="Times New Roman" w:cs="Times New Roman"/>
          <w:spacing w:val="40"/>
          <w:w w:val="105"/>
        </w:rPr>
        <w:t xml:space="preserve"> </w:t>
      </w:r>
      <w:r>
        <w:rPr>
          <w:rFonts w:hint="default" w:ascii="Times New Roman" w:hAnsi="Times New Roman" w:cs="Times New Roman"/>
          <w:w w:val="105"/>
        </w:rPr>
        <w:t>руководитель</w:t>
      </w:r>
      <w:r>
        <w:rPr>
          <w:rFonts w:hint="default" w:ascii="Times New Roman" w:hAnsi="Times New Roman" w:cs="Times New Roman"/>
          <w:spacing w:val="40"/>
          <w:w w:val="105"/>
        </w:rPr>
        <w:t xml:space="preserve"> </w:t>
      </w:r>
      <w:r>
        <w:rPr>
          <w:rFonts w:hint="default" w:ascii="Times New Roman" w:hAnsi="Times New Roman" w:cs="Times New Roman"/>
          <w:w w:val="105"/>
        </w:rPr>
        <w:t>–</w:t>
      </w:r>
      <w:r>
        <w:rPr>
          <w:rFonts w:hint="default" w:ascii="Times New Roman" w:hAnsi="Times New Roman" w:cs="Times New Roman"/>
          <w:spacing w:val="40"/>
          <w:w w:val="105"/>
        </w:rPr>
        <w:t xml:space="preserve"> </w:t>
      </w:r>
      <w:r>
        <w:rPr>
          <w:rFonts w:hint="default" w:ascii="Times New Roman" w:hAnsi="Times New Roman" w:cs="Times New Roman"/>
          <w:w w:val="105"/>
        </w:rPr>
        <w:t>Еленева Юлия Яковлевна</w:t>
      </w:r>
    </w:p>
    <w:p>
      <w:pPr>
        <w:spacing w:before="121"/>
        <w:ind w:left="804" w:right="831" w:firstLine="0"/>
        <w:jc w:val="center"/>
        <w:rPr>
          <w:rFonts w:hint="default" w:ascii="Times New Roman" w:hAnsi="Times New Roman" w:eastAsia="宋体" w:cs="Times New Roman"/>
          <w:b/>
          <w:i/>
          <w:sz w:val="24"/>
          <w:lang w:val="ru-RU" w:eastAsia="zh-CN"/>
        </w:rPr>
      </w:pPr>
      <w:r>
        <w:rPr>
          <w:rFonts w:hint="default" w:cs="Times New Roman"/>
          <w:b/>
          <w:i/>
          <w:w w:val="105"/>
          <w:sz w:val="24"/>
          <w:lang w:val="ru-RU"/>
        </w:rPr>
        <w:t>Фэн Тяньюй</w:t>
      </w:r>
    </w:p>
    <w:p>
      <w:pPr>
        <w:spacing w:before="14"/>
        <w:ind w:left="804" w:right="817" w:firstLine="0"/>
        <w:jc w:val="center"/>
        <w:rPr>
          <w:rFonts w:hint="default" w:ascii="Times New Roman" w:hAnsi="Times New Roman" w:cs="Times New Roman"/>
          <w:i/>
          <w:sz w:val="24"/>
        </w:rPr>
      </w:pPr>
      <w:r>
        <w:rPr>
          <w:rFonts w:hint="default" w:cs="Times New Roman"/>
          <w:i/>
          <w:w w:val="105"/>
          <w:sz w:val="24"/>
          <w:lang w:val="ru-RU"/>
        </w:rPr>
        <w:t>А</w:t>
      </w:r>
      <w:r>
        <w:rPr>
          <w:rFonts w:hint="default" w:ascii="Times New Roman" w:hAnsi="Times New Roman" w:cs="Times New Roman"/>
          <w:i/>
          <w:spacing w:val="-2"/>
          <w:w w:val="105"/>
          <w:sz w:val="24"/>
        </w:rPr>
        <w:t>спирант</w:t>
      </w:r>
      <w:bookmarkStart w:id="0" w:name="_GoBack"/>
      <w:bookmarkEnd w:id="0"/>
    </w:p>
    <w:p>
      <w:pPr>
        <w:pStyle w:val="3"/>
        <w:spacing w:before="13" w:line="252" w:lineRule="auto"/>
        <w:ind w:left="0" w:right="6" w:firstLine="0"/>
        <w:jc w:val="center"/>
      </w:pPr>
      <w:r>
        <w:rPr>
          <w:rFonts w:hint="eastAsia"/>
        </w:rPr>
        <w:t>Московский государственный технологический университет «СТАНКИН»</w:t>
      </w:r>
      <w:r>
        <w:t xml:space="preserve">, </w:t>
      </w:r>
      <w:r>
        <w:rPr>
          <w:rFonts w:hint="eastAsia"/>
        </w:rPr>
        <w:t>Институт социально-технологического менеджмента</w:t>
      </w:r>
      <w:r>
        <w:rPr>
          <w:w w:val="105"/>
        </w:rPr>
        <w:t xml:space="preserve">, Кафедра </w:t>
      </w:r>
      <w:r>
        <w:rPr>
          <w:rFonts w:hint="eastAsia"/>
          <w:w w:val="105"/>
          <w:lang w:val="ru-RU"/>
        </w:rPr>
        <w:t>финансового менеджмента</w:t>
      </w:r>
      <w:r>
        <w:rPr>
          <w:w w:val="105"/>
        </w:rPr>
        <w:t>, Москва, Россия</w:t>
      </w:r>
    </w:p>
    <w:p>
      <w:pPr>
        <w:spacing w:before="0" w:line="274" w:lineRule="exact"/>
        <w:ind w:left="804" w:right="826" w:firstLine="0"/>
        <w:jc w:val="center"/>
        <w:rPr>
          <w:i/>
          <w:sz w:val="24"/>
        </w:rPr>
      </w:pPr>
      <w:r>
        <w:rPr>
          <w:i/>
          <w:w w:val="105"/>
          <w:sz w:val="24"/>
        </w:rPr>
        <w:t>E-mail:</w:t>
      </w:r>
      <w:r>
        <w:rPr>
          <w:i/>
          <w:spacing w:val="-4"/>
          <w:w w:val="105"/>
          <w:sz w:val="24"/>
        </w:rPr>
        <w:t xml:space="preserve"> </w:t>
      </w:r>
      <w:r>
        <w:rPr>
          <w:rFonts w:hint="eastAsia"/>
          <w:i/>
          <w:iCs/>
        </w:rPr>
        <w:t>fengtianyu1203@gmai</w:t>
      </w:r>
      <w:r>
        <w:rPr>
          <w:rFonts w:hint="default" w:eastAsia="宋体"/>
          <w:i/>
          <w:iCs/>
          <w:lang w:val="en-GB" w:eastAsia="zh-CN"/>
        </w:rPr>
        <w:t>l</w:t>
      </w:r>
      <w:r>
        <w:rPr>
          <w:rFonts w:hint="eastAsia"/>
          <w:i/>
          <w:iCs/>
        </w:rPr>
        <w:t>.com</w:t>
      </w:r>
    </w:p>
    <w:p>
      <w:pPr>
        <w:jc w:val="both"/>
        <w:rPr>
          <w:rFonts w:hint="default"/>
          <w:sz w:val="24"/>
          <w:szCs w:val="24"/>
        </w:rPr>
      </w:pPr>
    </w:p>
    <w:p>
      <w:pPr>
        <w:spacing w:line="240" w:lineRule="auto"/>
        <w:ind w:firstLine="480" w:firstLineChars="200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Сотрудничество между Россией и Китаем в области промышленности и экономики имеет долгую историю. В последние годы совместные российско-китайские промышленные предприятия стали все более популярными и успешными. Однако, формирование экономической стратегии для таких предприятий может быть сложным процессом, учитывая различия в культуре, правовой системе и экономической политике двух стран[</w:t>
      </w:r>
      <w:r>
        <w:rPr>
          <w:rFonts w:hint="default"/>
          <w:sz w:val="24"/>
          <w:szCs w:val="24"/>
          <w:lang w:val="ru-RU"/>
        </w:rPr>
        <w:t>2</w:t>
      </w:r>
      <w:r>
        <w:rPr>
          <w:rFonts w:hint="default"/>
          <w:sz w:val="24"/>
          <w:szCs w:val="24"/>
        </w:rPr>
        <w:t xml:space="preserve">]. </w:t>
      </w:r>
    </w:p>
    <w:p>
      <w:pPr>
        <w:spacing w:line="240" w:lineRule="auto"/>
        <w:ind w:firstLine="480" w:firstLineChars="200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Во-первых, одной из основных особенностей является необходимость учета культурных различий между Россией и Китаем. Культура каждой страны имеет свои уникальные особенности, которые могут влиять на взаимодействие между партнерами в совместном предприятии. Например, китайская культура отличается высокой степенью иерархичности и уважением к старшим по возрасту и статусу[</w:t>
      </w:r>
      <w:r>
        <w:rPr>
          <w:rFonts w:hint="eastAsia" w:eastAsia="宋体"/>
          <w:sz w:val="24"/>
          <w:szCs w:val="24"/>
          <w:lang w:val="en-US" w:eastAsia="zh-CN"/>
        </w:rPr>
        <w:t>1</w:t>
      </w:r>
      <w:r>
        <w:rPr>
          <w:rFonts w:hint="default"/>
          <w:sz w:val="24"/>
          <w:szCs w:val="24"/>
        </w:rPr>
        <w:t>]. В то же время, российская культура более индивидуалистична и подчеркивает личную свободу и независимость. Поэтому, при формировании экономической стратегии необходимо учитывать эти различия и находить компромиссы, чтобы обеспечить эффективное взаимодействие между партнерами.</w:t>
      </w:r>
    </w:p>
    <w:p>
      <w:pPr>
        <w:spacing w:line="240" w:lineRule="auto"/>
        <w:ind w:firstLine="480" w:firstLineChars="200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Во-вторых, правовая система и экономическая политика двух стран также являются важными факторами при формировании экономической стратегии совместных предприятий. Россия и Китай имеют разные правовые и экономические системы, что может создавать проблемы в сотрудничестве[</w:t>
      </w:r>
      <w:r>
        <w:rPr>
          <w:rFonts w:hint="eastAsia" w:eastAsia="宋体"/>
          <w:sz w:val="24"/>
          <w:szCs w:val="24"/>
          <w:lang w:val="en-US" w:eastAsia="zh-CN"/>
        </w:rPr>
        <w:t>3</w:t>
      </w:r>
      <w:r>
        <w:rPr>
          <w:rFonts w:hint="default"/>
          <w:sz w:val="24"/>
          <w:szCs w:val="24"/>
        </w:rPr>
        <w:t>].</w:t>
      </w:r>
      <w:r>
        <w:rPr>
          <w:rFonts w:hint="eastAsia" w:eastAsia="宋体"/>
          <w:sz w:val="24"/>
          <w:szCs w:val="24"/>
          <w:lang w:val="en-US" w:eastAsia="zh-CN"/>
        </w:rPr>
        <w:t xml:space="preserve"> </w:t>
      </w:r>
      <w:r>
        <w:rPr>
          <w:rFonts w:hint="default"/>
          <w:sz w:val="24"/>
          <w:szCs w:val="24"/>
        </w:rPr>
        <w:t>Например, российская экономическая система более ориентирована на государственное регулирование, в то время как китайская экономика имеет большую степень рыночной ориентации. Поэтому, при формировании стратегии необходимо учитывать эти различия и находить решения, которые будут соответствовать требованиям обеих сторон.</w:t>
      </w:r>
    </w:p>
    <w:p>
      <w:pPr>
        <w:spacing w:line="240" w:lineRule="auto"/>
        <w:ind w:firstLine="480" w:firstLineChars="200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В-третьих, важно учитывать экономическую конкуренцию и потенциал каждой страны при формировании экономической стратегии совместных предприятий. Россия и Китай являются крупными экономическими державами с различными преимуществами и слабостями[</w:t>
      </w:r>
      <w:r>
        <w:rPr>
          <w:rFonts w:hint="eastAsia" w:eastAsia="宋体"/>
          <w:sz w:val="24"/>
          <w:szCs w:val="24"/>
          <w:lang w:val="en-US" w:eastAsia="zh-CN"/>
        </w:rPr>
        <w:t>5</w:t>
      </w:r>
      <w:r>
        <w:rPr>
          <w:rFonts w:hint="default"/>
          <w:sz w:val="24"/>
          <w:szCs w:val="24"/>
        </w:rPr>
        <w:t>]. Например, Россия обладает богатыми природными ресурсами, такими как нефть и газ, в то время как Китай имеет большой рынок с высоким спросом на товары и услуги. Поэтому, при формировании стратегии необходимо учитывать эти факторы и определить, какие преимущества каждой страны можно использовать для достижения успеха совместного предприятия.</w:t>
      </w:r>
    </w:p>
    <w:p>
      <w:pPr>
        <w:spacing w:line="240" w:lineRule="auto"/>
        <w:ind w:firstLine="480" w:firstLineChars="200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Наконец, важно учитывать географическое положение и инфраструктурные особенности каждой страны при формировании экономической стратегии совместных предприятий[</w:t>
      </w:r>
      <w:r>
        <w:rPr>
          <w:rFonts w:hint="default"/>
          <w:sz w:val="24"/>
          <w:szCs w:val="24"/>
          <w:lang w:val="ru-RU"/>
        </w:rPr>
        <w:t>2</w:t>
      </w:r>
      <w:r>
        <w:rPr>
          <w:rFonts w:hint="default"/>
          <w:sz w:val="24"/>
          <w:szCs w:val="24"/>
        </w:rPr>
        <w:t>]. Например, Россия располагается на перекрестке Европы и Азии, что может предоставить уникальные возможности для транзитной и логистической деятельности. Китай же имеет развитую инфраструктуру и доступ к крупному рынку потребителей. Поэтому, при формировании стратегии необходимо учитывать эти факторы и определить, какие преимущества можно получить от географического положения и инфраструктуры каждой страны.</w:t>
      </w:r>
    </w:p>
    <w:p>
      <w:pPr>
        <w:spacing w:line="240" w:lineRule="auto"/>
        <w:ind w:firstLine="480" w:firstLineChars="200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Сотрудничество между Россией и Китаем в области промышленности приобретает все большее значение в условиях глобализации и интеграции рынков. Формирование экономической стратегии для совместных предприятий представляет собой сложный и многогранный процесс, который требует учета ряда факторов, включая особенности экономической политики, индустриальные приоритеты и технологические возможности обеих стран. Рассмотрим несколько реальных примеров таких предприятий и особенности их экономической стратегии.</w:t>
      </w:r>
    </w:p>
    <w:p>
      <w:pPr>
        <w:spacing w:line="240" w:lineRule="auto"/>
        <w:ind w:firstLine="480" w:firstLineChars="200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Одним из примеров успешного сотрудничества российско-китайских промышленных предприятий является компания "Сибирская нефтегазовая компания". Это совместное предприятие российской компании "Газпром" и китайской компании "Китайская национальная нефтегазовая корпорация".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rFonts w:hint="default"/>
          <w:sz w:val="24"/>
          <w:szCs w:val="24"/>
        </w:rPr>
        <w:t>Эта компания для разработки месторождений в Восточной Сибири. Для успешной работы такого предприятия необходимо учесть экономические и финансовые требования обеих стран, чтобы обеспечить устойчивое развитие и прибыльность предприятия.</w:t>
      </w:r>
    </w:p>
    <w:p>
      <w:pPr>
        <w:spacing w:line="240" w:lineRule="auto"/>
        <w:ind w:firstLine="480" w:firstLineChars="200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Еще одним примером является совместное предприятие "Автотор-Шанхай", созданное российским автопроизводителем "Автотор" и китайской компанией "Шанхай Автомобильная Группа". Это предприятие специализируется на сборке и производстве автомобилей и автокомпонентов. Экономическая стратегия "Автотор-Шанхай" включает в себя использование передовых технологий и методов управления, а также оптимизацию производственных процессов и логистики. При этом особое внимание уделяется адаптации продукции к требованиям и предпочтениям потребителей как на внутренних, так и на экспортных рынках[</w:t>
      </w:r>
      <w:r>
        <w:rPr>
          <w:rFonts w:hint="eastAsia" w:eastAsia="宋体"/>
          <w:sz w:val="24"/>
          <w:szCs w:val="24"/>
          <w:lang w:val="en-US" w:eastAsia="zh-CN"/>
        </w:rPr>
        <w:t>6</w:t>
      </w:r>
      <w:r>
        <w:rPr>
          <w:rFonts w:hint="default"/>
          <w:sz w:val="24"/>
          <w:szCs w:val="24"/>
        </w:rPr>
        <w:t>].</w:t>
      </w:r>
    </w:p>
    <w:p>
      <w:pPr>
        <w:spacing w:line="240" w:lineRule="auto"/>
        <w:ind w:firstLine="480" w:firstLineChars="200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И еще одним примером можно назвать совместное предприятие "Силкроуд-Энергия", созданное китайской компанией "Силкроуд" и российским энергетическим холдингом. Это предприятие специализируется на разработке и производстве оборудования для альтернативных источников энергии, таких как солнечная и ветровая энергия. Экономическая стратегия "Силкроуд-Энергия" основана на инвестициях в исследования и разработки, а также на стратегических партнерствах с научными и инжиниринговыми компаниями обеих стран. При этом особое внимание уделяется экологической устойчивости и энергоэффективности производимой продукции.</w:t>
      </w:r>
    </w:p>
    <w:p>
      <w:pPr>
        <w:spacing w:line="240" w:lineRule="auto"/>
        <w:ind w:firstLine="480" w:firstLineChars="200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Таким образом, совместные российско-китайские промышленные предприятия представляют собой важный элемент экономического сотрудничества между двумя странами, формирование экономической стратегии для совместных российско-китайских промышленных предприятий является сложным процессом, требующим учета различных факторов. Культурные различия, правовая система, экономическая политика, экономическая конкуренция, географическое положение и инфраструктурные особенности - все это важные аспекты, которые должны быть учтены при формировании стратегии. Только учитывая все эти особенности, предприятия смогут достичь успеха и эффективно сотрудничать на протяжении долгосрочного периода.</w:t>
      </w:r>
    </w:p>
    <w:p>
      <w:pPr>
        <w:pStyle w:val="2"/>
        <w:spacing w:before="188"/>
      </w:pPr>
    </w:p>
    <w:p>
      <w:pPr>
        <w:pStyle w:val="2"/>
        <w:spacing w:before="188"/>
      </w:pPr>
    </w:p>
    <w:p>
      <w:pPr>
        <w:pStyle w:val="2"/>
        <w:spacing w:before="188"/>
      </w:pPr>
    </w:p>
    <w:p>
      <w:pPr>
        <w:pStyle w:val="2"/>
        <w:spacing w:before="188"/>
      </w:pPr>
    </w:p>
    <w:p>
      <w:pPr>
        <w:pStyle w:val="2"/>
        <w:spacing w:before="188"/>
      </w:pPr>
    </w:p>
    <w:p>
      <w:pPr>
        <w:pStyle w:val="2"/>
        <w:spacing w:before="188"/>
      </w:pPr>
    </w:p>
    <w:p>
      <w:pPr>
        <w:pStyle w:val="2"/>
        <w:spacing w:before="188"/>
        <w:rPr>
          <w:rFonts w:hint="default"/>
          <w:lang w:val="ru-RU"/>
        </w:rPr>
      </w:pPr>
    </w:p>
    <w:p>
      <w:pPr>
        <w:pStyle w:val="2"/>
        <w:spacing w:before="188"/>
      </w:pPr>
    </w:p>
    <w:p>
      <w:pPr>
        <w:pStyle w:val="2"/>
        <w:spacing w:before="188"/>
      </w:pPr>
    </w:p>
    <w:p>
      <w:pPr>
        <w:pStyle w:val="2"/>
        <w:spacing w:before="188"/>
        <w:rPr>
          <w:rFonts w:hint="eastAsia" w:eastAsia="宋体"/>
          <w:lang w:eastAsia="zh-CN"/>
        </w:rPr>
      </w:pPr>
    </w:p>
    <w:p>
      <w:pPr>
        <w:pStyle w:val="2"/>
        <w:spacing w:before="188"/>
        <w:rPr>
          <w:rFonts w:hint="eastAsia" w:eastAsia="宋体"/>
          <w:lang w:eastAsia="zh-CN"/>
        </w:rPr>
      </w:pPr>
    </w:p>
    <w:p>
      <w:pPr>
        <w:pStyle w:val="2"/>
        <w:spacing w:before="188"/>
      </w:pPr>
      <w:r>
        <w:t>Источники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rPr>
          <w:spacing w:val="-2"/>
        </w:rPr>
        <w:t>литература</w:t>
      </w:r>
    </w:p>
    <w:p>
      <w:pPr>
        <w:pStyle w:val="7"/>
        <w:numPr>
          <w:ilvl w:val="0"/>
          <w:numId w:val="1"/>
        </w:numPr>
        <w:tabs>
          <w:tab w:val="left" w:pos="684"/>
          <w:tab w:val="left" w:pos="686"/>
        </w:tabs>
        <w:spacing w:before="88" w:after="0" w:line="252" w:lineRule="auto"/>
        <w:ind w:left="326" w:leftChars="0" w:right="105" w:hanging="326" w:firstLineChars="0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pacing w:val="-2"/>
          <w:w w:val="110"/>
          <w:sz w:val="24"/>
        </w:rPr>
        <w:t>Алексеев А.Д. Россия и Китай не союзники, но партнеры // Огонек, 2006. - № 33.- 20с.</w:t>
      </w:r>
    </w:p>
    <w:p>
      <w:pPr>
        <w:pStyle w:val="7"/>
        <w:numPr>
          <w:ilvl w:val="0"/>
          <w:numId w:val="1"/>
        </w:numPr>
        <w:tabs>
          <w:tab w:val="left" w:pos="684"/>
          <w:tab w:val="left" w:pos="686"/>
        </w:tabs>
        <w:spacing w:before="88" w:after="0" w:line="252" w:lineRule="auto"/>
        <w:ind w:left="326" w:leftChars="0" w:right="105" w:hanging="326" w:firstLineChars="0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Жyджyнь Дин, Кoвaлeв M.M. Фeнoмeн экoнoмичecкoгopocтa Китaя.-Mн.: БГУ, 2008.-446 c.    </w:t>
      </w:r>
    </w:p>
    <w:p>
      <w:pPr>
        <w:pStyle w:val="7"/>
        <w:numPr>
          <w:ilvl w:val="0"/>
          <w:numId w:val="1"/>
        </w:numPr>
        <w:tabs>
          <w:tab w:val="left" w:pos="684"/>
          <w:tab w:val="left" w:pos="686"/>
        </w:tabs>
        <w:spacing w:before="88" w:after="0" w:line="252" w:lineRule="auto"/>
        <w:ind w:left="326" w:leftChars="0" w:right="105" w:hanging="326" w:firstLineChars="0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Зyдинa Л.H. Opгaнизaция yпpaвлeнчecкoгo тpyдa.- M.: ИHФPA-M, 2009.- 514 c.</w:t>
      </w:r>
    </w:p>
    <w:p>
      <w:pPr>
        <w:pStyle w:val="7"/>
        <w:numPr>
          <w:ilvl w:val="0"/>
          <w:numId w:val="1"/>
        </w:numPr>
        <w:tabs>
          <w:tab w:val="left" w:pos="684"/>
          <w:tab w:val="left" w:pos="686"/>
        </w:tabs>
        <w:spacing w:before="88" w:after="0" w:line="252" w:lineRule="auto"/>
        <w:ind w:left="326" w:leftChars="0" w:right="105" w:hanging="326" w:firstLineChars="0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Кyзык Б.H., TитapeнкoM.Л. Китaй - Poccия-2050, cтpaтeгия copaзвития.-M.:PAH, 2006- 433 c.</w:t>
      </w:r>
    </w:p>
    <w:p>
      <w:pPr>
        <w:pStyle w:val="7"/>
        <w:numPr>
          <w:ilvl w:val="0"/>
          <w:numId w:val="1"/>
        </w:numPr>
        <w:tabs>
          <w:tab w:val="left" w:pos="684"/>
          <w:tab w:val="left" w:pos="686"/>
        </w:tabs>
        <w:spacing w:before="88" w:after="0" w:line="252" w:lineRule="auto"/>
        <w:ind w:left="326" w:leftChars="0" w:right="105" w:hanging="326" w:firstLineChars="0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Mecкoн M.X., Aльбepт M., Xeдoypи Ф. Ocнoвы мeнeджмeнтa.- M.: Дeлo, 2010.- 702 c.</w:t>
      </w:r>
    </w:p>
    <w:p>
      <w:pPr>
        <w:pStyle w:val="7"/>
        <w:numPr>
          <w:ilvl w:val="0"/>
          <w:numId w:val="1"/>
        </w:numPr>
        <w:tabs>
          <w:tab w:val="left" w:pos="684"/>
          <w:tab w:val="left" w:pos="686"/>
        </w:tabs>
        <w:spacing w:before="88" w:after="0" w:line="252" w:lineRule="auto"/>
        <w:ind w:left="326" w:leftChars="0" w:right="105" w:hanging="326" w:firstLineChars="0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Oвcянкo Д.B. Ocнoвы мeнeджмeнтa. Учeб. пoc. - CПБ.: CПБГУ, 2005. - 379 c. </w:t>
      </w:r>
    </w:p>
    <w:p>
      <w:pPr>
        <w:pStyle w:val="7"/>
        <w:numPr>
          <w:ilvl w:val="0"/>
          <w:numId w:val="1"/>
        </w:numPr>
        <w:tabs>
          <w:tab w:val="left" w:pos="684"/>
          <w:tab w:val="left" w:pos="686"/>
        </w:tabs>
        <w:spacing w:before="88" w:after="0" w:line="252" w:lineRule="auto"/>
        <w:ind w:left="326" w:leftChars="0" w:right="105" w:hanging="326" w:firstLineChars="0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Oгoлeвa Л.H. Ocнoвы мeнeджмeнтa. Учeбнoe пocoбиe. - M.: ИHФPA - M, 2007. - 280 c.</w:t>
      </w:r>
    </w:p>
    <w:p>
      <w:pPr>
        <w:pStyle w:val="7"/>
        <w:numPr>
          <w:ilvl w:val="0"/>
          <w:numId w:val="1"/>
        </w:numPr>
        <w:tabs>
          <w:tab w:val="left" w:pos="684"/>
          <w:tab w:val="left" w:pos="686"/>
        </w:tabs>
        <w:spacing w:before="88" w:after="0" w:line="252" w:lineRule="auto"/>
        <w:ind w:left="326" w:leftChars="0" w:right="105" w:hanging="326" w:firstLineChars="0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Cтpaтeгия пpeвpaщeния Китaя в cyпepиндycтpиaльнoe гocyдapcтвo/ oтв. peд. M.Л. Tитapeнкo. - M.:Пaмятники иcтopичecкoй мыcли, 2002.-200 c.   </w:t>
      </w:r>
    </w:p>
    <w:p>
      <w:pPr>
        <w:pStyle w:val="7"/>
        <w:numPr>
          <w:ilvl w:val="0"/>
          <w:numId w:val="1"/>
        </w:numPr>
        <w:tabs>
          <w:tab w:val="left" w:pos="684"/>
          <w:tab w:val="left" w:pos="686"/>
        </w:tabs>
        <w:spacing w:before="88" w:after="0" w:line="252" w:lineRule="auto"/>
        <w:ind w:left="326" w:leftChars="0" w:right="105" w:hanging="326" w:firstLineChars="0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Toкapcкaя H.M., CoлoдoвaH.Г. Cтpaтeгия фиpмы в oблacти yпpaвлeния чeлoвeчecкими pecypcaми: зapyбeжный oпыт. - Иpкyтcк, 2008. - 399 c.    </w:t>
      </w:r>
    </w:p>
    <w:p>
      <w:pPr>
        <w:pStyle w:val="7"/>
        <w:numPr>
          <w:ilvl w:val="0"/>
          <w:numId w:val="0"/>
        </w:numPr>
        <w:tabs>
          <w:tab w:val="left" w:pos="684"/>
          <w:tab w:val="left" w:pos="686"/>
        </w:tabs>
        <w:spacing w:before="141" w:after="0" w:line="252" w:lineRule="auto"/>
        <w:ind w:leftChars="0" w:right="106" w:rightChars="0"/>
        <w:jc w:val="both"/>
        <w:rPr>
          <w:sz w:val="24"/>
        </w:rPr>
      </w:pPr>
    </w:p>
    <w:sectPr>
      <w:headerReference r:id="rId5" w:type="default"/>
      <w:footerReference r:id="rId6" w:type="default"/>
      <w:pgSz w:w="11910" w:h="16840"/>
      <w:pgMar w:top="1040" w:right="460" w:bottom="980" w:left="1600" w:header="375" w:footer="79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1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 w:firstLine="0"/>
      <w:jc w:val="left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7087235</wp:posOffset>
              </wp:positionH>
              <wp:positionV relativeFrom="page">
                <wp:posOffset>10015855</wp:posOffset>
              </wp:positionV>
              <wp:extent cx="163195" cy="24892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195" cy="248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3"/>
                            <w:spacing w:before="71"/>
                            <w:ind w:left="60" w:firstLine="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558.05pt;margin-top:788.65pt;height:19.6pt;width:12.85pt;mso-position-horizontal-relative:page;mso-position-vertical-relative:page;z-index:-251657216;mso-width-relative:page;mso-height-relative:page;" filled="f" stroked="f" coordsize="21600,21600" o:gfxdata="UEsDBAoAAAAAAIdO4kAAAAAAAAAAAAAAAAAEAAAAZHJzL1BLAwQUAAAACACHTuJAo3MURdsAAAAP&#10;AQAADwAAAGRycy9kb3ducmV2LnhtbE2PzU7DMBCE70i8g7VI3KhtoGkb4lQIwQkJkYYDRyd2E6vx&#10;OsTuD2/P9lRuM9pPszPF+uQHdrBTdAEVyJkAZrENxmGn4Kt+u1sCi0mj0UNAq+DXRliX11eFzk04&#10;YmUPm9QxCsGYawV9SmPOeWx763WchdEi3bZh8jqRnTpuJn2kcD/weyEy7rVD+tDr0b70tt1t9l7B&#10;8zdWr+7no/mstpWr65XA92yn1O2NFE/Akj2lCwzn+lQdSurUhD2ayAbyUmaSWFLzxeIB2JmRj5L2&#10;NKQymc2BlwX/v6P8A1BLAwQUAAAACACHTuJAncDevLIBAABzAwAADgAAAGRycy9lMm9Eb2MueG1s&#10;rVPBbtswDL0P6D8IujdOvLVojTjFtmDFgGEb0O4DZFmKBViiJiqx8/ejZDsduksPu8iUSD2+9yhv&#10;H0bbs5MKaMDVfLNac6achNa4Q81/PX+5vuMMo3Ct6MGpmp8V8ofd1bvt4CtVQgd9qwIjEIfV4Gve&#10;xeirokDZKStwBV45SmoIVkTahkPRBjEQuu2Lcr2+LQYIrQ8gFSKd7qcknxHDWwBBayPVHuTRKhcn&#10;1KB6EUkSdsYj32W2WisZf2iNKrK+5qQ05pWaUNyktdhtRXUIwndGzhTEWyi80mSFcdT0ArUXUbBj&#10;MP9AWSMDIOi4kmCLSUh2hFRs1q+8eeqEV1kLWY3+Yjr+P1j5/fQzMNPWvOTMCUsDf1ZjbGBkZTJn&#10;8FhRzZOnqjh+gpGezHKOdJg0jzrY9CU1jPJk7fliLWExmS7dvt/c33AmKVV+uLsvs/XFy2UfMD4q&#10;sCwFNQ80uWyoOH3DSESodCmhTaI1tU9RHJtx5tpAeyaqA0205vj7KILirP/qyLI0/iUIS9AsQYj9&#10;Z8iPJElx8PEYQZvcObWYcOfONItMaH43adh/73PVy7+y+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jcxRF2wAAAA8BAAAPAAAAAAAAAAEAIAAAACIAAABkcnMvZG93bnJldi54bWxQSwECFAAUAAAA&#10;CACHTuJAncDevLIBAABzAwAADgAAAAAAAAABACAAAAAq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spacing w:before="71"/>
                      <w:ind w:left="60" w:firstLine="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 w:firstLine="0"/>
      <w:jc w:val="left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1120140</wp:posOffset>
              </wp:positionH>
              <wp:positionV relativeFrom="page">
                <wp:posOffset>224790</wp:posOffset>
              </wp:positionV>
              <wp:extent cx="3141345" cy="21653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41345" cy="216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i/>
                              <w:sz w:val="24"/>
                            </w:rPr>
                            <w:t>Конференция «Ломоносов 202</w:t>
                          </w:r>
                          <w:r>
                            <w:rPr>
                              <w:rFonts w:hint="eastAsia" w:eastAsia="宋体"/>
                              <w:i/>
                              <w:sz w:val="24"/>
                              <w:lang w:val="en-US"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i/>
                              <w:sz w:val="24"/>
                            </w:rPr>
                            <w:t>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88.2pt;margin-top:17.7pt;height:17.05pt;width:247.35pt;mso-position-horizontal-relative:page;mso-position-vertical-relative:page;z-index:-251657216;mso-width-relative:page;mso-height-relative:page;" filled="f" stroked="f" coordsize="21600,21600" o:gfxdata="UEsDBAoAAAAAAIdO4kAAAAAAAAAAAAAAAAAEAAAAZHJzL1BLAwQUAAAACACHTuJAg7w49dgAAAAJ&#10;AQAADwAAAGRycy9kb3ducmV2LnhtbE2PzU7DMBCE70i8g7VI3KgdoGmbxqkQghMSIg0Hjk68TaLG&#10;6xC7P7w9y6mcdkczmv0235zdII44hd6ThmSmQCA13vbUavisXu+WIEI0ZM3gCTX8YIBNcX2Vm8z6&#10;E5V43MZWcAmFzGjoYhwzKUPToTNh5kck9nZ+ciaynFppJ3PicjfIe6VS6UxPfKEzIz532Oy3B6fh&#10;6YvKl/77vf4od2VfVStFb+le69ubRK1BRDzHSxj+8BkdCmaq/YFsEAPrRfrIUQ0Pc54cSBdJAqLm&#10;ZTUHWeTy/wfFL1BLAwQUAAAACACHTuJAmimEWbIBAAB0AwAADgAAAGRycy9lMm9Eb2MueG1srVNR&#10;j9MwDH5H4j9EeWddt9sJTetOwARCQoB0xw9I02SN1MTBztbu3+O03Q4dL/fAS+rYzmd/n93dw+A7&#10;cTZIDkIly8VSChM0NC4cK/nr6fO791JQUqFRHQRTyYsh+bB/+2bXx61ZQQtdY1AwSKBtHyvZphS3&#10;RUG6NV7RAqIJHLSAXiW+4rFoUPWM7rtitVzeFz1gExG0IWLvYQrKGRFfAwjWOm0OoE/ehDShoulU&#10;YkrUukhyP3ZrrdHph7VkkugqyUzTeHIRtut8Fvud2h5RxdbpuQX1mhZecPLKBS56gzqopMQJ3T9Q&#10;3mkEApsWGnwxERkVYRbl8oU2j62KZuTCUlO8iU7/D1Z/P/9E4RreBCmC8jzwJzOkGgZRZnH6SFvO&#10;eYyclYaPMOTE2U/szJwHiz5/mY3gOEt7uUnLWEKzc13eleu7jRSaY6vyfrPeZJji+XVESl8MeJGN&#10;SiKPblRUnb9RmlKvKfwu9zXVz1Ya6mFuqobmwr32PNJK0u+TQiNF9zWwZnn+VwOvRn01MHWfYNyS&#10;zCXAh1MC68bKucSEO1fmYYy9z4uTp/33fcx6/ln2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D&#10;vDj12AAAAAkBAAAPAAAAAAAAAAEAIAAAACIAAABkcnMvZG93bnJldi54bWxQSwECFAAUAAAACACH&#10;TuJAmimEWbIBAAB0AwAADgAAAAAAAAABACAAAAAn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rPr>
                        <w:i/>
                        <w:sz w:val="24"/>
                      </w:rPr>
                    </w:pPr>
                    <w:r>
                      <w:rPr>
                        <w:rFonts w:hint="eastAsia"/>
                        <w:i/>
                        <w:sz w:val="24"/>
                      </w:rPr>
                      <w:t>Конференция «Ломоносов 202</w:t>
                    </w:r>
                    <w:r>
                      <w:rPr>
                        <w:rFonts w:hint="eastAsia" w:eastAsia="宋体"/>
                        <w:i/>
                        <w:sz w:val="24"/>
                        <w:lang w:val="en-US" w:eastAsia="zh-CN"/>
                      </w:rPr>
                      <w:t>4</w:t>
                    </w:r>
                    <w:r>
                      <w:rPr>
                        <w:rFonts w:hint="eastAsia"/>
                        <w:i/>
                        <w:sz w:val="24"/>
                      </w:rPr>
                      <w:t>»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)"/>
      <w:lvlJc w:val="left"/>
      <w:pPr>
        <w:ind w:left="326" w:hanging="3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4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36" w:hanging="32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53" w:hanging="32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69" w:hanging="32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86" w:hanging="32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902" w:hanging="32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19" w:hanging="32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35" w:hanging="32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652" w:hanging="32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ODVlYTk1ZDBiYTc5NzdhN2NhN2Q1OGFjYzNlZWJiOWIifQ=="/>
  </w:docVars>
  <w:rsids>
    <w:rsidRoot w:val="00000000"/>
    <w:rsid w:val="015679D0"/>
    <w:rsid w:val="04722D72"/>
    <w:rsid w:val="049251C3"/>
    <w:rsid w:val="089D5EE4"/>
    <w:rsid w:val="095C7B4D"/>
    <w:rsid w:val="09F2225F"/>
    <w:rsid w:val="0CB63A18"/>
    <w:rsid w:val="0CDB2458"/>
    <w:rsid w:val="0D1349C7"/>
    <w:rsid w:val="0DD8176C"/>
    <w:rsid w:val="0DED6FC6"/>
    <w:rsid w:val="0EA87375"/>
    <w:rsid w:val="0EC046DA"/>
    <w:rsid w:val="0F046CBD"/>
    <w:rsid w:val="0F625791"/>
    <w:rsid w:val="13F217DA"/>
    <w:rsid w:val="16351E52"/>
    <w:rsid w:val="173914CE"/>
    <w:rsid w:val="17400A52"/>
    <w:rsid w:val="19C72DC1"/>
    <w:rsid w:val="1B2D35C5"/>
    <w:rsid w:val="1C6568C1"/>
    <w:rsid w:val="1C964CCC"/>
    <w:rsid w:val="1DB7314C"/>
    <w:rsid w:val="1DD261D8"/>
    <w:rsid w:val="1EEA12FF"/>
    <w:rsid w:val="1EF04B68"/>
    <w:rsid w:val="1F1D3483"/>
    <w:rsid w:val="20176124"/>
    <w:rsid w:val="204F3B10"/>
    <w:rsid w:val="22E83DA8"/>
    <w:rsid w:val="230230BC"/>
    <w:rsid w:val="246F1C69"/>
    <w:rsid w:val="24863878"/>
    <w:rsid w:val="24CF6FCD"/>
    <w:rsid w:val="251F61A7"/>
    <w:rsid w:val="25853B30"/>
    <w:rsid w:val="287A1946"/>
    <w:rsid w:val="2B512E32"/>
    <w:rsid w:val="2BED7625"/>
    <w:rsid w:val="2C4C4C3F"/>
    <w:rsid w:val="2C6721E1"/>
    <w:rsid w:val="2D0F4D53"/>
    <w:rsid w:val="2E976DAE"/>
    <w:rsid w:val="2F3565C7"/>
    <w:rsid w:val="2FD162F0"/>
    <w:rsid w:val="304F36B8"/>
    <w:rsid w:val="30696528"/>
    <w:rsid w:val="30A752A2"/>
    <w:rsid w:val="321318E0"/>
    <w:rsid w:val="32281772"/>
    <w:rsid w:val="34396CAB"/>
    <w:rsid w:val="35236B45"/>
    <w:rsid w:val="35AE2C2F"/>
    <w:rsid w:val="36056CF3"/>
    <w:rsid w:val="36A4475E"/>
    <w:rsid w:val="39E10255"/>
    <w:rsid w:val="3B583041"/>
    <w:rsid w:val="3BA90120"/>
    <w:rsid w:val="3D5D7415"/>
    <w:rsid w:val="402B37FA"/>
    <w:rsid w:val="4044666A"/>
    <w:rsid w:val="4186203A"/>
    <w:rsid w:val="424B1F31"/>
    <w:rsid w:val="444F55DD"/>
    <w:rsid w:val="454964D0"/>
    <w:rsid w:val="464B38DA"/>
    <w:rsid w:val="49B04D70"/>
    <w:rsid w:val="49D00F6E"/>
    <w:rsid w:val="4BD96ED8"/>
    <w:rsid w:val="4C5E43C5"/>
    <w:rsid w:val="4CC0351C"/>
    <w:rsid w:val="4EF474AD"/>
    <w:rsid w:val="4F196F13"/>
    <w:rsid w:val="4F8E345D"/>
    <w:rsid w:val="4F9D7B44"/>
    <w:rsid w:val="4FCC2A59"/>
    <w:rsid w:val="50100316"/>
    <w:rsid w:val="53514ECE"/>
    <w:rsid w:val="53760DD8"/>
    <w:rsid w:val="56466840"/>
    <w:rsid w:val="56AF7F71"/>
    <w:rsid w:val="56CF0F2B"/>
    <w:rsid w:val="572A7F10"/>
    <w:rsid w:val="5794182D"/>
    <w:rsid w:val="57AE0B41"/>
    <w:rsid w:val="5991071A"/>
    <w:rsid w:val="5A3035D2"/>
    <w:rsid w:val="5A6C4CE3"/>
    <w:rsid w:val="5B427C37"/>
    <w:rsid w:val="5B613C4B"/>
    <w:rsid w:val="5D080CF3"/>
    <w:rsid w:val="5D845EA0"/>
    <w:rsid w:val="5DC82230"/>
    <w:rsid w:val="603B318E"/>
    <w:rsid w:val="612358BE"/>
    <w:rsid w:val="61CB22EF"/>
    <w:rsid w:val="63057A83"/>
    <w:rsid w:val="64A07A63"/>
    <w:rsid w:val="654F4FE5"/>
    <w:rsid w:val="665B6338"/>
    <w:rsid w:val="678C54B7"/>
    <w:rsid w:val="685A617B"/>
    <w:rsid w:val="6B2B0D1B"/>
    <w:rsid w:val="6C111246"/>
    <w:rsid w:val="6C705F6D"/>
    <w:rsid w:val="6CEE00D3"/>
    <w:rsid w:val="6E8201DA"/>
    <w:rsid w:val="6E873A42"/>
    <w:rsid w:val="6EAB5982"/>
    <w:rsid w:val="6FA10B33"/>
    <w:rsid w:val="6FDA1532"/>
    <w:rsid w:val="70207CAA"/>
    <w:rsid w:val="705B0CE2"/>
    <w:rsid w:val="70CE5958"/>
    <w:rsid w:val="71867FE1"/>
    <w:rsid w:val="72281098"/>
    <w:rsid w:val="73BB6668"/>
    <w:rsid w:val="74365CEE"/>
    <w:rsid w:val="745D771F"/>
    <w:rsid w:val="785827DF"/>
    <w:rsid w:val="789456D9"/>
    <w:rsid w:val="78BE62B2"/>
    <w:rsid w:val="78EC72C3"/>
    <w:rsid w:val="7B615D46"/>
    <w:rsid w:val="7C134B67"/>
    <w:rsid w:val="7C594C70"/>
    <w:rsid w:val="7D197F5B"/>
    <w:rsid w:val="7FF645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autoRedefine/>
    <w:qFormat/>
    <w:uiPriority w:val="1"/>
    <w:pPr>
      <w:ind w:right="4"/>
      <w:jc w:val="center"/>
      <w:outlineLvl w:val="1"/>
    </w:pPr>
    <w:rPr>
      <w:rFonts w:ascii="Cambria" w:hAnsi="Cambria" w:eastAsia="Cambria" w:cs="Cambria"/>
      <w:b/>
      <w:bCs/>
      <w:sz w:val="24"/>
      <w:szCs w:val="24"/>
      <w:lang w:val="ru-RU" w:eastAsia="en-US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pPr>
      <w:ind w:left="100" w:firstLine="351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table" w:customStyle="1" w:styleId="6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autoRedefine/>
    <w:qFormat/>
    <w:uiPriority w:val="1"/>
    <w:pPr>
      <w:ind w:left="1064" w:hanging="613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8">
    <w:name w:val="Table Paragraph"/>
    <w:basedOn w:val="1"/>
    <w:autoRedefine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2024-01-25T07:57:00Z</dcterms:created>
  <dc:creator>Lenovo</dc:creator>
  <cp:lastModifiedBy>小冰在莫斯科</cp:lastModifiedBy>
  <dcterms:modified xsi:type="dcterms:W3CDTF">2024-02-15T19:54:00Z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LaTeX with hyperref package</vt:lpwstr>
  </property>
  <property fmtid="{D5CDD505-2E9C-101B-9397-08002B2CF9AE}" pid="4" name="LastSaved">
    <vt:filetime>2024-01-25T00:00:00Z</vt:filetime>
  </property>
  <property fmtid="{D5CDD505-2E9C-101B-9397-08002B2CF9AE}" pid="5" name="PTEX.Fullbanner">
    <vt:lpwstr>This is pdfTeX, Version 3.14159265-2.6-1.40.17 (TeX Live 2016/Debian) kpathsea version 6.2.2</vt:lpwstr>
  </property>
  <property fmtid="{D5CDD505-2E9C-101B-9397-08002B2CF9AE}" pid="6" name="Producer">
    <vt:lpwstr>pdfTeX-1.40.17</vt:lpwstr>
  </property>
  <property fmtid="{D5CDD505-2E9C-101B-9397-08002B2CF9AE}" pid="7" name="KSOProductBuildVer">
    <vt:lpwstr>2052-12.1.0.16250</vt:lpwstr>
  </property>
  <property fmtid="{D5CDD505-2E9C-101B-9397-08002B2CF9AE}" pid="8" name="ICV">
    <vt:lpwstr>3A6352CD448840B5B4B5A40B30370335_12</vt:lpwstr>
  </property>
</Properties>
</file>