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C9A" w:rsidRDefault="005F1383" w:rsidP="00032F9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353535"/>
        </w:rPr>
      </w:pPr>
      <w:r>
        <w:rPr>
          <w:b/>
          <w:bCs/>
          <w:color w:val="353535"/>
        </w:rPr>
        <w:t xml:space="preserve">Анализ трендов </w:t>
      </w:r>
      <w:r>
        <w:rPr>
          <w:b/>
          <w:bCs/>
          <w:color w:val="353535"/>
          <w:lang w:val="en-US"/>
        </w:rPr>
        <w:t>IT</w:t>
      </w:r>
      <w:r w:rsidRPr="005F1383">
        <w:rPr>
          <w:b/>
          <w:bCs/>
          <w:color w:val="353535"/>
        </w:rPr>
        <w:t>-</w:t>
      </w:r>
      <w:r>
        <w:rPr>
          <w:b/>
          <w:bCs/>
          <w:color w:val="353535"/>
        </w:rPr>
        <w:t>сферы</w:t>
      </w:r>
      <w:r w:rsidR="00007C9A" w:rsidRPr="00007C9A">
        <w:rPr>
          <w:b/>
          <w:bCs/>
          <w:color w:val="353535"/>
        </w:rPr>
        <w:t xml:space="preserve"> </w:t>
      </w:r>
      <w:r>
        <w:rPr>
          <w:b/>
          <w:bCs/>
          <w:color w:val="353535"/>
        </w:rPr>
        <w:t>как один из ключевых факторов стратегирования инновационных компаний</w:t>
      </w:r>
    </w:p>
    <w:p w:rsidR="00032F9C" w:rsidRPr="00032F9C" w:rsidRDefault="00007C9A" w:rsidP="00032F9C">
      <w:pPr>
        <w:pStyle w:val="a6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7"/>
          <w:i/>
          <w:iCs/>
          <w:color w:val="353535"/>
        </w:rPr>
        <w:t>Жданов Данила</w:t>
      </w:r>
      <w:r w:rsidR="00032F9C">
        <w:rPr>
          <w:rStyle w:val="a7"/>
          <w:i/>
          <w:iCs/>
          <w:color w:val="353535"/>
        </w:rPr>
        <w:t xml:space="preserve"> Игоревич</w:t>
      </w:r>
    </w:p>
    <w:p w:rsidR="00032F9C" w:rsidRPr="00032F9C" w:rsidRDefault="00032F9C" w:rsidP="00023E4B">
      <w:pPr>
        <w:pStyle w:val="a6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8"/>
          <w:color w:val="353535"/>
        </w:rPr>
        <w:t>Аспирант кафедры экономической и финансовой стратегии</w:t>
      </w:r>
    </w:p>
    <w:p w:rsidR="00032F9C" w:rsidRPr="00032F9C" w:rsidRDefault="00032F9C" w:rsidP="00023E4B">
      <w:pPr>
        <w:pStyle w:val="a6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032F9C">
        <w:rPr>
          <w:rStyle w:val="a8"/>
          <w:color w:val="353535"/>
        </w:rPr>
        <w:t>Московский государственный университет имени М.В.</w:t>
      </w:r>
      <w:r w:rsidR="005412A2">
        <w:rPr>
          <w:rStyle w:val="a8"/>
          <w:color w:val="353535"/>
        </w:rPr>
        <w:t> </w:t>
      </w:r>
      <w:r w:rsidRPr="00032F9C">
        <w:rPr>
          <w:rStyle w:val="a8"/>
          <w:color w:val="353535"/>
        </w:rPr>
        <w:t>Ломоносова, </w:t>
      </w:r>
    </w:p>
    <w:p w:rsidR="00032F9C" w:rsidRPr="00032F9C" w:rsidRDefault="00032F9C" w:rsidP="00023E4B">
      <w:pPr>
        <w:pStyle w:val="a6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8"/>
          <w:color w:val="353535"/>
        </w:rPr>
        <w:t>Московская школа экономики</w:t>
      </w:r>
      <w:r w:rsidRPr="00032F9C">
        <w:rPr>
          <w:rStyle w:val="a8"/>
          <w:color w:val="353535"/>
        </w:rPr>
        <w:t>, Москва, Россия</w:t>
      </w:r>
    </w:p>
    <w:p w:rsidR="00032F9C" w:rsidRPr="00007C9A" w:rsidRDefault="00032F9C" w:rsidP="00032F9C">
      <w:pPr>
        <w:pStyle w:val="a6"/>
        <w:shd w:val="clear" w:color="auto" w:fill="FFFFFF"/>
        <w:spacing w:before="0" w:beforeAutospacing="0" w:after="150" w:afterAutospacing="0"/>
        <w:jc w:val="center"/>
        <w:rPr>
          <w:color w:val="353535"/>
          <w:lang w:val="en-US"/>
        </w:rPr>
      </w:pPr>
      <w:r w:rsidRPr="00007C9A">
        <w:rPr>
          <w:rStyle w:val="a8"/>
          <w:color w:val="353535"/>
          <w:lang w:val="en-US"/>
        </w:rPr>
        <w:t xml:space="preserve">E–mail: </w:t>
      </w:r>
      <w:r w:rsidR="00007C9A">
        <w:rPr>
          <w:rStyle w:val="a8"/>
          <w:color w:val="353535"/>
          <w:lang w:val="en-US"/>
        </w:rPr>
        <w:t>zhdanoff23</w:t>
      </w:r>
      <w:r w:rsidRPr="00007C9A">
        <w:rPr>
          <w:rStyle w:val="a8"/>
          <w:color w:val="353535"/>
          <w:lang w:val="en-US"/>
        </w:rPr>
        <w:t>@</w:t>
      </w:r>
      <w:r w:rsidR="00007C9A">
        <w:rPr>
          <w:rStyle w:val="a8"/>
          <w:color w:val="353535"/>
          <w:lang w:val="en-US"/>
        </w:rPr>
        <w:t>g</w:t>
      </w:r>
      <w:r>
        <w:rPr>
          <w:rStyle w:val="a8"/>
          <w:color w:val="353535"/>
          <w:lang w:val="en-US"/>
        </w:rPr>
        <w:t>mail</w:t>
      </w:r>
      <w:r w:rsidRPr="00007C9A">
        <w:rPr>
          <w:rStyle w:val="a8"/>
          <w:color w:val="353535"/>
          <w:lang w:val="en-US"/>
        </w:rPr>
        <w:t>.</w:t>
      </w:r>
      <w:r w:rsidR="00007C9A">
        <w:rPr>
          <w:rStyle w:val="a8"/>
          <w:color w:val="353535"/>
          <w:lang w:val="en-US"/>
        </w:rPr>
        <w:t>com</w:t>
      </w:r>
    </w:p>
    <w:p w:rsidR="00007C9A" w:rsidRPr="00007C9A" w:rsidRDefault="00305A81" w:rsidP="0000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C9A">
        <w:rPr>
          <w:rFonts w:ascii="Times New Roman" w:hAnsi="Times New Roman"/>
          <w:sz w:val="24"/>
          <w:szCs w:val="24"/>
          <w:lang w:val="en-US"/>
        </w:rPr>
        <w:tab/>
      </w:r>
      <w:r w:rsidR="00007C9A" w:rsidRPr="00007C9A">
        <w:rPr>
          <w:rFonts w:ascii="Times New Roman" w:hAnsi="Times New Roman"/>
          <w:sz w:val="24"/>
          <w:szCs w:val="24"/>
        </w:rPr>
        <w:t>При создании стратегии или изменению существующей очень важно понимать и суметь проанализировать тренды и тенденции отрасли информационных технологий, а также провести мониторинг динамики их влияния [1].</w:t>
      </w:r>
    </w:p>
    <w:p w:rsidR="00007C9A" w:rsidRPr="00007C9A" w:rsidRDefault="00007C9A" w:rsidP="0000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C9A">
        <w:rPr>
          <w:rFonts w:ascii="Times New Roman" w:hAnsi="Times New Roman"/>
          <w:sz w:val="24"/>
          <w:szCs w:val="24"/>
        </w:rPr>
        <w:t xml:space="preserve">В процессе углублении анализов трендов, мы понимаем, что важно начинать с анализирования глобальных трендов, затем мы подходим к мониторингу сектора информационных технологий. Очень часто компании на этом останавливаются и игнорируют региональные тренды. Это является ошибкой, ведь анализ глобальных, региональных и отраслевых трендов и их закономерностей позволяет нам создать глобальный прогноз, а затем региональный и </w:t>
      </w:r>
      <w:proofErr w:type="spellStart"/>
      <w:r w:rsidRPr="00007C9A">
        <w:rPr>
          <w:rFonts w:ascii="Times New Roman" w:hAnsi="Times New Roman"/>
          <w:sz w:val="24"/>
          <w:szCs w:val="24"/>
        </w:rPr>
        <w:t>целеориентированный</w:t>
      </w:r>
      <w:proofErr w:type="spellEnd"/>
      <w:r w:rsidRPr="00007C9A">
        <w:rPr>
          <w:rFonts w:ascii="Times New Roman" w:hAnsi="Times New Roman"/>
          <w:sz w:val="24"/>
          <w:szCs w:val="24"/>
        </w:rPr>
        <w:t xml:space="preserve"> прогнозы [2]. </w:t>
      </w:r>
    </w:p>
    <w:p w:rsidR="00007C9A" w:rsidRPr="00007C9A" w:rsidRDefault="00007C9A" w:rsidP="0000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C9A">
        <w:rPr>
          <w:rFonts w:ascii="Times New Roman" w:hAnsi="Times New Roman"/>
          <w:sz w:val="24"/>
          <w:szCs w:val="24"/>
        </w:rPr>
        <w:t>Развитие технологий является глобальным трендом развития мировой экономики, и многие страны периодически осуществляют прогнозирование технологического развития на следующие 10-20 лет. В комплексном исследовании ОЭСР «Обзор науки, технологий и инноваций» 2016 года был проведен обзор прогнозов развития данной сферы развитыми странами, в т.ч. и Россией [3]. Кроме того, было выделено 40 ключевых технологий будущего в цифровой сфере (</w:t>
      </w:r>
      <w:proofErr w:type="spellStart"/>
      <w:r w:rsidRPr="00007C9A">
        <w:rPr>
          <w:rFonts w:ascii="Times New Roman" w:hAnsi="Times New Roman"/>
          <w:sz w:val="24"/>
          <w:szCs w:val="24"/>
        </w:rPr>
        <w:t>digital</w:t>
      </w:r>
      <w:proofErr w:type="spellEnd"/>
      <w:r w:rsidRPr="00007C9A">
        <w:rPr>
          <w:rFonts w:ascii="Times New Roman" w:hAnsi="Times New Roman"/>
          <w:sz w:val="24"/>
          <w:szCs w:val="24"/>
        </w:rPr>
        <w:t>), в сфере энергетики и окружающей среды (</w:t>
      </w:r>
      <w:proofErr w:type="spellStart"/>
      <w:r w:rsidRPr="00007C9A">
        <w:rPr>
          <w:rFonts w:ascii="Times New Roman" w:hAnsi="Times New Roman"/>
          <w:sz w:val="24"/>
          <w:szCs w:val="24"/>
        </w:rPr>
        <w:t>energy+environment</w:t>
      </w:r>
      <w:proofErr w:type="spellEnd"/>
      <w:r w:rsidRPr="00007C9A">
        <w:rPr>
          <w:rFonts w:ascii="Times New Roman" w:hAnsi="Times New Roman"/>
          <w:sz w:val="24"/>
          <w:szCs w:val="24"/>
        </w:rPr>
        <w:t>), в сфере биотехнологий (</w:t>
      </w:r>
      <w:proofErr w:type="spellStart"/>
      <w:r w:rsidRPr="00007C9A">
        <w:rPr>
          <w:rFonts w:ascii="Times New Roman" w:hAnsi="Times New Roman"/>
          <w:sz w:val="24"/>
          <w:szCs w:val="24"/>
        </w:rPr>
        <w:t>biotechnologies</w:t>
      </w:r>
      <w:proofErr w:type="spellEnd"/>
      <w:r w:rsidRPr="00007C9A">
        <w:rPr>
          <w:rFonts w:ascii="Times New Roman" w:hAnsi="Times New Roman"/>
          <w:sz w:val="24"/>
          <w:szCs w:val="24"/>
        </w:rPr>
        <w:t>) и материалов (</w:t>
      </w:r>
      <w:proofErr w:type="spellStart"/>
      <w:r w:rsidRPr="00007C9A">
        <w:rPr>
          <w:rFonts w:ascii="Times New Roman" w:hAnsi="Times New Roman"/>
          <w:sz w:val="24"/>
          <w:szCs w:val="24"/>
        </w:rPr>
        <w:t>advanced</w:t>
      </w:r>
      <w:proofErr w:type="spellEnd"/>
      <w:r w:rsidRPr="00007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C9A">
        <w:rPr>
          <w:rFonts w:ascii="Times New Roman" w:hAnsi="Times New Roman"/>
          <w:sz w:val="24"/>
          <w:szCs w:val="24"/>
        </w:rPr>
        <w:t>materials</w:t>
      </w:r>
      <w:proofErr w:type="spellEnd"/>
      <w:r w:rsidRPr="00007C9A">
        <w:rPr>
          <w:rFonts w:ascii="Times New Roman" w:hAnsi="Times New Roman"/>
          <w:sz w:val="24"/>
          <w:szCs w:val="24"/>
        </w:rPr>
        <w:t>).</w:t>
      </w:r>
    </w:p>
    <w:p w:rsidR="00007C9A" w:rsidRPr="00007C9A" w:rsidRDefault="00007C9A" w:rsidP="0000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C9A">
        <w:rPr>
          <w:rFonts w:ascii="Times New Roman" w:hAnsi="Times New Roman"/>
          <w:sz w:val="24"/>
          <w:szCs w:val="24"/>
        </w:rPr>
        <w:t xml:space="preserve">Определяющее влияние на мир в будущем окажет концепция «Интернет вещей» (Internet </w:t>
      </w:r>
      <w:proofErr w:type="spellStart"/>
      <w:r w:rsidRPr="00007C9A">
        <w:rPr>
          <w:rFonts w:ascii="Times New Roman" w:hAnsi="Times New Roman"/>
          <w:sz w:val="24"/>
          <w:szCs w:val="24"/>
        </w:rPr>
        <w:t>of</w:t>
      </w:r>
      <w:proofErr w:type="spellEnd"/>
      <w:r w:rsidRPr="00007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C9A">
        <w:rPr>
          <w:rFonts w:ascii="Times New Roman" w:hAnsi="Times New Roman"/>
          <w:sz w:val="24"/>
          <w:szCs w:val="24"/>
        </w:rPr>
        <w:t>things</w:t>
      </w:r>
      <w:proofErr w:type="spellEnd"/>
      <w:r w:rsidRPr="00007C9A">
        <w:rPr>
          <w:rFonts w:ascii="Times New Roman" w:hAnsi="Times New Roman"/>
          <w:sz w:val="24"/>
          <w:szCs w:val="24"/>
        </w:rPr>
        <w:t>), суть которой заключается в интеграции реального и виртуального миров, то есть в формировании сети взаимодействия физических устройств и программного обеспечения. Экономическое влияние Интернета вещей оценивается в 2,7 трлн. дол. США, а к 2025 году вырастет до 6,2 трлн. дол. США в год [4]</w:t>
      </w:r>
    </w:p>
    <w:p w:rsidR="00007C9A" w:rsidRPr="00007C9A" w:rsidRDefault="00007C9A" w:rsidP="0000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C9A">
        <w:rPr>
          <w:rFonts w:ascii="Times New Roman" w:hAnsi="Times New Roman"/>
          <w:sz w:val="24"/>
          <w:szCs w:val="24"/>
        </w:rPr>
        <w:t>Рост значимости анализа больших данных (</w:t>
      </w:r>
      <w:proofErr w:type="spellStart"/>
      <w:r w:rsidRPr="00007C9A">
        <w:rPr>
          <w:rFonts w:ascii="Times New Roman" w:hAnsi="Times New Roman"/>
          <w:sz w:val="24"/>
          <w:szCs w:val="24"/>
        </w:rPr>
        <w:t>big</w:t>
      </w:r>
      <w:proofErr w:type="spellEnd"/>
      <w:r w:rsidRPr="00007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C9A">
        <w:rPr>
          <w:rFonts w:ascii="Times New Roman" w:hAnsi="Times New Roman"/>
          <w:sz w:val="24"/>
          <w:szCs w:val="24"/>
        </w:rPr>
        <w:t>data</w:t>
      </w:r>
      <w:proofErr w:type="spellEnd"/>
      <w:r w:rsidRPr="00007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C9A">
        <w:rPr>
          <w:rFonts w:ascii="Times New Roman" w:hAnsi="Times New Roman"/>
          <w:sz w:val="24"/>
          <w:szCs w:val="24"/>
        </w:rPr>
        <w:t>analysis</w:t>
      </w:r>
      <w:proofErr w:type="spellEnd"/>
      <w:r w:rsidRPr="00007C9A">
        <w:rPr>
          <w:rFonts w:ascii="Times New Roman" w:hAnsi="Times New Roman"/>
          <w:sz w:val="24"/>
          <w:szCs w:val="24"/>
        </w:rPr>
        <w:t xml:space="preserve">) станет вызовом для политики занятости и подготовки соответствующих профессионалов. Потребность в специалистах по анализу данных превысит существующее предложение на рынке труда, а также создаст новые требования к существующим системам обучения и подготовки кадров с учетом быстрого изменения набора навыков, которыми должен будет обладать соответствующий специалист. Большие данные также будут нуждаться в развитии инфраструктуры, таких как разработка новых суперкомпьютеров, создание больших хранилищ данных и обеспечение открытости и </w:t>
      </w:r>
      <w:proofErr w:type="spellStart"/>
      <w:r w:rsidRPr="00007C9A">
        <w:rPr>
          <w:rFonts w:ascii="Times New Roman" w:hAnsi="Times New Roman"/>
          <w:sz w:val="24"/>
          <w:szCs w:val="24"/>
        </w:rPr>
        <w:t>всеохватываемости</w:t>
      </w:r>
      <w:proofErr w:type="spellEnd"/>
      <w:r w:rsidRPr="00007C9A">
        <w:rPr>
          <w:rFonts w:ascii="Times New Roman" w:hAnsi="Times New Roman"/>
          <w:sz w:val="24"/>
          <w:szCs w:val="24"/>
        </w:rPr>
        <w:t xml:space="preserve"> Интернета. На регуляторном уровне необходимо обеспечить бесперебойный поток данных между государствами, секторами и организациями.</w:t>
      </w:r>
    </w:p>
    <w:p w:rsidR="00007C9A" w:rsidRPr="00007C9A" w:rsidRDefault="00007C9A" w:rsidP="0000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C9A">
        <w:rPr>
          <w:rFonts w:ascii="Times New Roman" w:hAnsi="Times New Roman"/>
          <w:sz w:val="24"/>
          <w:szCs w:val="24"/>
        </w:rPr>
        <w:t xml:space="preserve">Несмотря на то, что </w:t>
      </w:r>
      <w:proofErr w:type="spellStart"/>
      <w:r w:rsidRPr="00007C9A">
        <w:rPr>
          <w:rFonts w:ascii="Times New Roman" w:hAnsi="Times New Roman"/>
          <w:sz w:val="24"/>
          <w:szCs w:val="24"/>
        </w:rPr>
        <w:t>диджитализация</w:t>
      </w:r>
      <w:proofErr w:type="spellEnd"/>
      <w:r w:rsidRPr="00007C9A">
        <w:rPr>
          <w:rFonts w:ascii="Times New Roman" w:hAnsi="Times New Roman"/>
          <w:sz w:val="24"/>
          <w:szCs w:val="24"/>
        </w:rPr>
        <w:t xml:space="preserve"> всех сфер жизни уже давно стала трендом, из-за последствий пандемии бизнесу во всем мире необходимо совершенствовать план цифровизации на ближайшие пять лет. Производственные компании путем цифровизации могут и оптимизируют свои бизнес-процессы, осуществляют управление технологическим процессом, повышают стандартизацию бизнес-процессов. Цифровизация давно позволяет снизить издержки на логистику. Однако в будущем цифровизация позволит усилить контроль и уменьшить возможность злоупотреблений [5]. </w:t>
      </w:r>
    </w:p>
    <w:p w:rsidR="00007C9A" w:rsidRPr="00007C9A" w:rsidRDefault="00007C9A" w:rsidP="0000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C9A">
        <w:rPr>
          <w:rFonts w:ascii="Times New Roman" w:hAnsi="Times New Roman"/>
          <w:sz w:val="24"/>
          <w:szCs w:val="24"/>
        </w:rPr>
        <w:t>По прогнозам агентства Gartner в 2022 году общемировые затраты на IT, связанные только с дистанционными формами работы, составят около 332,9 млрд долларов, что на 4,9% больше, чем в 2021 году. В общем в усовершенствование IT-решений мировые компании инвестируют около 3,9 триллиона долларов, что на 6,2% больше, чем в 2021году. Максимальное увеличение прогнозируют в сфере разработки нового программного обеспечения – инвестиции тут на 8,8% превысят показатели прошлых лет [6].</w:t>
      </w:r>
    </w:p>
    <w:p w:rsidR="00007C9A" w:rsidRPr="00007C9A" w:rsidRDefault="00007C9A" w:rsidP="0000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007C9A">
        <w:rPr>
          <w:rFonts w:ascii="Times New Roman" w:hAnsi="Times New Roman"/>
          <w:sz w:val="24"/>
          <w:szCs w:val="24"/>
        </w:rPr>
        <w:t>Надо понимать, что цифровизация меняет всю экономическую реальность. Если раньше конкуренция была ограничена локальными рынками, то сейчас компании (потребительского сектора, финансовых услуг и др.) вынуждены конкурировать чуть ли не на глобальном рынке, ведь они сталкиваются с давлением со стороны [7].</w:t>
      </w:r>
    </w:p>
    <w:p w:rsidR="00007C9A" w:rsidRPr="00007C9A" w:rsidRDefault="00007C9A" w:rsidP="0000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C9A">
        <w:rPr>
          <w:rFonts w:ascii="Times New Roman" w:hAnsi="Times New Roman"/>
          <w:sz w:val="24"/>
          <w:szCs w:val="24"/>
        </w:rPr>
        <w:t xml:space="preserve">Спрос на IT-услуги сейчас превышает предложение, и ситуация усугубляется с каждым днем, рынок ощущает нехватку квалифицированных специалистов. Только за 2021 год спрос увеличился на 11% во всех странах мира. В мире насчитывается уже более 24,5 миллионов IT-специалистов, что на 500 тысяч больше, чем в 2021 году. Однако, несмотря на это, IT-отрасль все равно испытывает нехватку талантливых программистов. </w:t>
      </w:r>
    </w:p>
    <w:p w:rsidR="00007C9A" w:rsidRPr="00007C9A" w:rsidRDefault="00007C9A" w:rsidP="00007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развитием автоматизации в бизнесе у людей появится больше ресурсов и свобод для решения сложных стратегических задач, и они меньше будут вовлечены в рутину. Технологии уже изменяют реальность бизнеса и влияют на глобальную экономику, становясь драйвером прогресса. Анализ и систематизация трендов является необходимым этапом при разработке долгосрочной стратегии инновационных компаний.</w:t>
      </w:r>
    </w:p>
    <w:p w:rsidR="00007C9A" w:rsidRPr="00007C9A" w:rsidRDefault="00007C9A" w:rsidP="00007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7C9A" w:rsidRPr="00007C9A" w:rsidRDefault="00007C9A" w:rsidP="00007C9A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Квинт В.Л. Стратегическое управление и экономика на глобальном формирующемся рынке. / В.Л. Квинт. - Москва-: Бизнес Атлас, 2012 г. C – 60</w:t>
      </w:r>
    </w:p>
    <w:p w:rsidR="00007C9A" w:rsidRPr="00007C9A" w:rsidRDefault="00007C9A" w:rsidP="00007C9A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Квинт В.Л. Стратегическое управление и экономика на глобальном формирующемся рынке. / В.Л. Квинт. - Москва-: Бизнес Атлас, 2012 г. C – 65</w:t>
      </w:r>
    </w:p>
    <w:p w:rsidR="00007C9A" w:rsidRPr="00007C9A" w:rsidRDefault="00007C9A" w:rsidP="00007C9A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Прогноз научно-технического развития России 2030. </w:t>
      </w:r>
      <w:r w:rsidRPr="00007C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URL: </w:t>
      </w:r>
      <w:hyperlink r:id="rId6" w:history="1">
        <w:r w:rsidRPr="00007C9A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https://prognoz2030.hse.ru/data/2014/12/25/1103939133/Prognoz_2030_final.pdf</w:t>
        </w:r>
      </w:hyperlink>
    </w:p>
    <w:p w:rsidR="00007C9A" w:rsidRPr="00007C9A" w:rsidRDefault="00007C9A" w:rsidP="00007C9A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007C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OECD Science, Technology and Innovation Outlook 2016. URL: </w:t>
      </w:r>
      <w:hyperlink r:id="rId7" w:anchor=".WiR4IUpl_IV" w:history="1">
        <w:r w:rsidRPr="00007C9A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https://read.oecd-ilibrary.org/science-and-technology/oecd-science-technology-and-innovation-outlook-2016_sti_in_outlook-2016-en#.WiR4IUpl_IV#page1</w:t>
        </w:r>
      </w:hyperlink>
    </w:p>
    <w:p w:rsidR="00007C9A" w:rsidRPr="00007C9A" w:rsidRDefault="00007C9A" w:rsidP="00007C9A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Hlk95331421"/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К. Л. Астапов. Стратегия использования региональных цифровых платформ для модернизации экономики Кузбасса/ </w:t>
      </w:r>
      <w:proofErr w:type="spellStart"/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Стратегирование</w:t>
      </w:r>
      <w:proofErr w:type="spellEnd"/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теория и практика. 2021. Т. 1. № 1</w:t>
      </w:r>
    </w:p>
    <w:bookmarkEnd w:id="0"/>
    <w:p w:rsidR="00007C9A" w:rsidRPr="00007C9A" w:rsidRDefault="00007C9A" w:rsidP="00007C9A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Gartner: в 2021 году мировые ИТ-затраты превысят 4 трлн долларов. URL: </w:t>
      </w:r>
      <w:hyperlink r:id="rId8" w:history="1">
        <w:r w:rsidRPr="00007C9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https://nag.ru/news/41086</w:t>
        </w:r>
      </w:hyperlink>
    </w:p>
    <w:p w:rsidR="00007C9A" w:rsidRPr="00007C9A" w:rsidRDefault="00007C9A" w:rsidP="00007C9A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К. Л. Астапов. Стратегия использования региональных цифровых платформ для модернизации экономики Кузбасса/ </w:t>
      </w:r>
      <w:proofErr w:type="spellStart"/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Стратегирование</w:t>
      </w:r>
      <w:proofErr w:type="spellEnd"/>
      <w:r w:rsidRPr="00007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теория и практика. 2021. Т. 1. № 1</w:t>
      </w:r>
    </w:p>
    <w:p w:rsidR="00023E4B" w:rsidRPr="00007C9A" w:rsidRDefault="00023E4B" w:rsidP="00007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56E0" w:rsidRPr="00023E4B" w:rsidRDefault="000956E0" w:rsidP="00930B0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sectPr w:rsidR="000956E0" w:rsidRPr="00023E4B" w:rsidSect="00F937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8E0"/>
    <w:multiLevelType w:val="hybridMultilevel"/>
    <w:tmpl w:val="CBB8F66E"/>
    <w:lvl w:ilvl="0" w:tplc="791461F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86077"/>
    <w:multiLevelType w:val="hybridMultilevel"/>
    <w:tmpl w:val="1676F76A"/>
    <w:lvl w:ilvl="0" w:tplc="0ACEB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  <w:spacing w:val="-5"/>
        <w:w w:val="10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07BF"/>
    <w:multiLevelType w:val="hybridMultilevel"/>
    <w:tmpl w:val="D292C0EA"/>
    <w:lvl w:ilvl="0" w:tplc="452C34A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947EF4"/>
    <w:multiLevelType w:val="hybridMultilevel"/>
    <w:tmpl w:val="522CF6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C1D5D"/>
    <w:multiLevelType w:val="hybridMultilevel"/>
    <w:tmpl w:val="11A8C09C"/>
    <w:lvl w:ilvl="0" w:tplc="3FD0A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D0CDB"/>
    <w:multiLevelType w:val="hybridMultilevel"/>
    <w:tmpl w:val="D68C3434"/>
    <w:lvl w:ilvl="0" w:tplc="12209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683436"/>
    <w:multiLevelType w:val="hybridMultilevel"/>
    <w:tmpl w:val="5D8AD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01323">
    <w:abstractNumId w:val="2"/>
  </w:num>
  <w:num w:numId="2" w16cid:durableId="1469317455">
    <w:abstractNumId w:val="4"/>
  </w:num>
  <w:num w:numId="3" w16cid:durableId="1443257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400463">
    <w:abstractNumId w:val="0"/>
  </w:num>
  <w:num w:numId="5" w16cid:durableId="1976520385">
    <w:abstractNumId w:val="6"/>
  </w:num>
  <w:num w:numId="6" w16cid:durableId="1993750241">
    <w:abstractNumId w:val="1"/>
  </w:num>
  <w:num w:numId="7" w16cid:durableId="2146775012">
    <w:abstractNumId w:val="5"/>
  </w:num>
  <w:num w:numId="8" w16cid:durableId="1168789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8D"/>
    <w:rsid w:val="00007C9A"/>
    <w:rsid w:val="00013AB7"/>
    <w:rsid w:val="00023E4B"/>
    <w:rsid w:val="000308B0"/>
    <w:rsid w:val="00032F9C"/>
    <w:rsid w:val="00040EE3"/>
    <w:rsid w:val="0008404B"/>
    <w:rsid w:val="000868CD"/>
    <w:rsid w:val="000956E0"/>
    <w:rsid w:val="000B2640"/>
    <w:rsid w:val="000B30E2"/>
    <w:rsid w:val="000F5932"/>
    <w:rsid w:val="000F680E"/>
    <w:rsid w:val="0010735B"/>
    <w:rsid w:val="00113917"/>
    <w:rsid w:val="00131B39"/>
    <w:rsid w:val="001704AA"/>
    <w:rsid w:val="00190D9F"/>
    <w:rsid w:val="001D4754"/>
    <w:rsid w:val="0021361D"/>
    <w:rsid w:val="00237FD9"/>
    <w:rsid w:val="00260DAB"/>
    <w:rsid w:val="00271FFB"/>
    <w:rsid w:val="002B5AE0"/>
    <w:rsid w:val="002D2051"/>
    <w:rsid w:val="002F0F02"/>
    <w:rsid w:val="00305A81"/>
    <w:rsid w:val="0033789B"/>
    <w:rsid w:val="00380CA5"/>
    <w:rsid w:val="003919EA"/>
    <w:rsid w:val="003E0939"/>
    <w:rsid w:val="003E3287"/>
    <w:rsid w:val="004112E5"/>
    <w:rsid w:val="00442A61"/>
    <w:rsid w:val="00466C82"/>
    <w:rsid w:val="00475837"/>
    <w:rsid w:val="0047784F"/>
    <w:rsid w:val="004A1E5B"/>
    <w:rsid w:val="004B6DAB"/>
    <w:rsid w:val="004C5764"/>
    <w:rsid w:val="004D325E"/>
    <w:rsid w:val="0051247E"/>
    <w:rsid w:val="00522C7F"/>
    <w:rsid w:val="005254EA"/>
    <w:rsid w:val="00535554"/>
    <w:rsid w:val="005412A2"/>
    <w:rsid w:val="00552703"/>
    <w:rsid w:val="005600D5"/>
    <w:rsid w:val="005852B2"/>
    <w:rsid w:val="005A0C89"/>
    <w:rsid w:val="005B2472"/>
    <w:rsid w:val="005D1908"/>
    <w:rsid w:val="005F1383"/>
    <w:rsid w:val="0060369E"/>
    <w:rsid w:val="00676B45"/>
    <w:rsid w:val="006800A4"/>
    <w:rsid w:val="00684F7E"/>
    <w:rsid w:val="006B2E0B"/>
    <w:rsid w:val="006C07A0"/>
    <w:rsid w:val="006C62B7"/>
    <w:rsid w:val="006C6E77"/>
    <w:rsid w:val="006D2E38"/>
    <w:rsid w:val="006F1239"/>
    <w:rsid w:val="006F4B05"/>
    <w:rsid w:val="00741B7E"/>
    <w:rsid w:val="00745B9E"/>
    <w:rsid w:val="00786DBE"/>
    <w:rsid w:val="00794017"/>
    <w:rsid w:val="00795321"/>
    <w:rsid w:val="007D0AE1"/>
    <w:rsid w:val="007E5BF2"/>
    <w:rsid w:val="00811E4F"/>
    <w:rsid w:val="00832D46"/>
    <w:rsid w:val="00865693"/>
    <w:rsid w:val="008A02EF"/>
    <w:rsid w:val="008B4542"/>
    <w:rsid w:val="008C79BE"/>
    <w:rsid w:val="00903823"/>
    <w:rsid w:val="0090554C"/>
    <w:rsid w:val="0091631A"/>
    <w:rsid w:val="00930B04"/>
    <w:rsid w:val="00966F38"/>
    <w:rsid w:val="00977336"/>
    <w:rsid w:val="009A7BEC"/>
    <w:rsid w:val="009B0A84"/>
    <w:rsid w:val="009B1AD4"/>
    <w:rsid w:val="009E52AA"/>
    <w:rsid w:val="009F11B1"/>
    <w:rsid w:val="00A30E0D"/>
    <w:rsid w:val="00A41E5F"/>
    <w:rsid w:val="00AA0C49"/>
    <w:rsid w:val="00AB6184"/>
    <w:rsid w:val="00AC1030"/>
    <w:rsid w:val="00AE3D30"/>
    <w:rsid w:val="00AE4E46"/>
    <w:rsid w:val="00B1264D"/>
    <w:rsid w:val="00B571E4"/>
    <w:rsid w:val="00BB4E1E"/>
    <w:rsid w:val="00BC56C2"/>
    <w:rsid w:val="00BC5F20"/>
    <w:rsid w:val="00BF2A2E"/>
    <w:rsid w:val="00C465BB"/>
    <w:rsid w:val="00CC2D36"/>
    <w:rsid w:val="00CC474E"/>
    <w:rsid w:val="00CD3E26"/>
    <w:rsid w:val="00CE5500"/>
    <w:rsid w:val="00CE5695"/>
    <w:rsid w:val="00D05221"/>
    <w:rsid w:val="00D12D0D"/>
    <w:rsid w:val="00D163A1"/>
    <w:rsid w:val="00D8542F"/>
    <w:rsid w:val="00DA2E06"/>
    <w:rsid w:val="00DB05B1"/>
    <w:rsid w:val="00DC2373"/>
    <w:rsid w:val="00DC3B02"/>
    <w:rsid w:val="00DE2C07"/>
    <w:rsid w:val="00E206D9"/>
    <w:rsid w:val="00E260EB"/>
    <w:rsid w:val="00E36EBA"/>
    <w:rsid w:val="00E57D79"/>
    <w:rsid w:val="00E70EF4"/>
    <w:rsid w:val="00E75017"/>
    <w:rsid w:val="00E97155"/>
    <w:rsid w:val="00E978D6"/>
    <w:rsid w:val="00EB35E1"/>
    <w:rsid w:val="00EE48F7"/>
    <w:rsid w:val="00EE495C"/>
    <w:rsid w:val="00F11329"/>
    <w:rsid w:val="00F13011"/>
    <w:rsid w:val="00F9378D"/>
    <w:rsid w:val="00F9619A"/>
    <w:rsid w:val="00FA7C6E"/>
    <w:rsid w:val="00FB75F6"/>
    <w:rsid w:val="00FC3E11"/>
    <w:rsid w:val="00FE034C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E914"/>
  <w15:chartTrackingRefBased/>
  <w15:docId w15:val="{D93247AA-0AD9-754E-AB6C-F5360EDC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B05"/>
    <w:pPr>
      <w:ind w:left="720"/>
      <w:contextualSpacing/>
    </w:pPr>
  </w:style>
  <w:style w:type="character" w:styleId="a4">
    <w:name w:val="Hyperlink"/>
    <w:uiPriority w:val="99"/>
    <w:unhideWhenUsed/>
    <w:rsid w:val="00131B3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131B3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032F9C"/>
    <w:rPr>
      <w:b/>
      <w:bCs/>
    </w:rPr>
  </w:style>
  <w:style w:type="character" w:styleId="a8">
    <w:name w:val="Emphasis"/>
    <w:uiPriority w:val="20"/>
    <w:qFormat/>
    <w:rsid w:val="00032F9C"/>
    <w:rPr>
      <w:i/>
      <w:iCs/>
    </w:rPr>
  </w:style>
  <w:style w:type="table" w:styleId="a9">
    <w:name w:val="Table Grid"/>
    <w:basedOn w:val="a1"/>
    <w:rsid w:val="00A30E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1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170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9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g.ru/news/41086" TargetMode="External"/><Relationship Id="rId3" Type="http://schemas.openxmlformats.org/officeDocument/2006/relationships/styles" Target="styles.xml"/><Relationship Id="rId7" Type="http://schemas.openxmlformats.org/officeDocument/2006/relationships/hyperlink" Target="https://read.oecd-ilibrary.org/science-and-technology/oecd-science-technology-and-innovation-outlook-2016_sti_in_outlook-2016-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gnoz2030.hse.ru/data/2014/12/25/1103939133/Prognoz_2030_final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10CF-25CF-4F8D-ABD5-CEA6D2ED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Microsoft Office User</cp:lastModifiedBy>
  <cp:revision>3</cp:revision>
  <dcterms:created xsi:type="dcterms:W3CDTF">2024-02-15T21:40:00Z</dcterms:created>
  <dcterms:modified xsi:type="dcterms:W3CDTF">2024-02-15T21:54:00Z</dcterms:modified>
</cp:coreProperties>
</file>