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2F9C" w:rsidRPr="00032F9C" w:rsidRDefault="00305A81" w:rsidP="00032F9C">
      <w:pPr>
        <w:pStyle w:val="a6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>
        <w:rPr>
          <w:rStyle w:val="a7"/>
          <w:color w:val="353535"/>
        </w:rPr>
        <w:t>Анализ стратегических трендов в системе разработки концепции стратегирования социально-экономического развития ресурсоориентированных регионов</w:t>
      </w:r>
    </w:p>
    <w:p w:rsidR="00032F9C" w:rsidRPr="00032F9C" w:rsidRDefault="00032F9C" w:rsidP="00032F9C">
      <w:pPr>
        <w:pStyle w:val="a6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>
        <w:rPr>
          <w:rStyle w:val="a7"/>
          <w:i/>
          <w:iCs/>
          <w:color w:val="353535"/>
        </w:rPr>
        <w:t>Герелишин Роман Игоревич</w:t>
      </w:r>
    </w:p>
    <w:p w:rsidR="00032F9C" w:rsidRPr="00032F9C" w:rsidRDefault="00032F9C" w:rsidP="00023E4B">
      <w:pPr>
        <w:pStyle w:val="a6"/>
        <w:shd w:val="clear" w:color="auto" w:fill="FFFFFF"/>
        <w:spacing w:before="0" w:beforeAutospacing="0" w:after="0" w:afterAutospacing="0"/>
        <w:jc w:val="center"/>
        <w:rPr>
          <w:color w:val="353535"/>
        </w:rPr>
      </w:pPr>
      <w:r>
        <w:rPr>
          <w:rStyle w:val="a8"/>
          <w:color w:val="353535"/>
        </w:rPr>
        <w:t>Аспирант кафедры экономической и финансовой стратегии</w:t>
      </w:r>
    </w:p>
    <w:p w:rsidR="00032F9C" w:rsidRPr="00032F9C" w:rsidRDefault="00032F9C" w:rsidP="00023E4B">
      <w:pPr>
        <w:pStyle w:val="a6"/>
        <w:shd w:val="clear" w:color="auto" w:fill="FFFFFF"/>
        <w:spacing w:before="0" w:beforeAutospacing="0" w:after="0" w:afterAutospacing="0"/>
        <w:jc w:val="center"/>
        <w:rPr>
          <w:color w:val="353535"/>
        </w:rPr>
      </w:pPr>
      <w:r w:rsidRPr="00032F9C">
        <w:rPr>
          <w:rStyle w:val="a8"/>
          <w:color w:val="353535"/>
        </w:rPr>
        <w:t>Московский государственный университет имени М.В.</w:t>
      </w:r>
      <w:r w:rsidR="005412A2">
        <w:rPr>
          <w:rStyle w:val="a8"/>
          <w:color w:val="353535"/>
        </w:rPr>
        <w:t> </w:t>
      </w:r>
      <w:r w:rsidRPr="00032F9C">
        <w:rPr>
          <w:rStyle w:val="a8"/>
          <w:color w:val="353535"/>
        </w:rPr>
        <w:t>Ломоносова, </w:t>
      </w:r>
    </w:p>
    <w:p w:rsidR="00032F9C" w:rsidRPr="00032F9C" w:rsidRDefault="00032F9C" w:rsidP="00023E4B">
      <w:pPr>
        <w:pStyle w:val="a6"/>
        <w:shd w:val="clear" w:color="auto" w:fill="FFFFFF"/>
        <w:spacing w:before="0" w:beforeAutospacing="0" w:after="0" w:afterAutospacing="0"/>
        <w:jc w:val="center"/>
        <w:rPr>
          <w:color w:val="353535"/>
        </w:rPr>
      </w:pPr>
      <w:r>
        <w:rPr>
          <w:rStyle w:val="a8"/>
          <w:color w:val="353535"/>
        </w:rPr>
        <w:t>Московская школа экономики</w:t>
      </w:r>
      <w:r w:rsidRPr="00032F9C">
        <w:rPr>
          <w:rStyle w:val="a8"/>
          <w:color w:val="353535"/>
        </w:rPr>
        <w:t>, Москва, Россия</w:t>
      </w:r>
    </w:p>
    <w:p w:rsidR="00032F9C" w:rsidRPr="00032F9C" w:rsidRDefault="00032F9C" w:rsidP="00032F9C">
      <w:pPr>
        <w:pStyle w:val="a6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032F9C">
        <w:rPr>
          <w:rStyle w:val="a8"/>
          <w:color w:val="353535"/>
        </w:rPr>
        <w:t>E–</w:t>
      </w:r>
      <w:proofErr w:type="spellStart"/>
      <w:r w:rsidRPr="00032F9C">
        <w:rPr>
          <w:rStyle w:val="a8"/>
          <w:color w:val="353535"/>
        </w:rPr>
        <w:t>mail</w:t>
      </w:r>
      <w:proofErr w:type="spellEnd"/>
      <w:r w:rsidRPr="00032F9C">
        <w:rPr>
          <w:rStyle w:val="a8"/>
          <w:color w:val="353535"/>
        </w:rPr>
        <w:t xml:space="preserve">: </w:t>
      </w:r>
      <w:r>
        <w:rPr>
          <w:rStyle w:val="a8"/>
          <w:color w:val="353535"/>
          <w:lang w:val="en-US"/>
        </w:rPr>
        <w:t>mrgerelishin</w:t>
      </w:r>
      <w:r w:rsidRPr="00032F9C">
        <w:rPr>
          <w:rStyle w:val="a8"/>
          <w:color w:val="353535"/>
        </w:rPr>
        <w:t>@</w:t>
      </w:r>
      <w:r>
        <w:rPr>
          <w:rStyle w:val="a8"/>
          <w:color w:val="353535"/>
          <w:lang w:val="en-US"/>
        </w:rPr>
        <w:t>mail</w:t>
      </w:r>
      <w:r w:rsidRPr="00032F9C">
        <w:rPr>
          <w:rStyle w:val="a8"/>
          <w:color w:val="353535"/>
        </w:rPr>
        <w:t>.ru</w:t>
      </w:r>
    </w:p>
    <w:p w:rsidR="00AE4E46" w:rsidRDefault="00305A81" w:rsidP="005412A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Регионы Российской Федерации, обладающие значительным природно-ресурсным потенциалом, </w:t>
      </w:r>
      <w:r w:rsidR="006C07A0">
        <w:rPr>
          <w:rFonts w:ascii="Times New Roman" w:hAnsi="Times New Roman"/>
          <w:sz w:val="24"/>
          <w:szCs w:val="24"/>
        </w:rPr>
        <w:t xml:space="preserve">принципиально важны для экономики страны в целом: они </w:t>
      </w:r>
      <w:r w:rsidR="00013AB7">
        <w:rPr>
          <w:rFonts w:ascii="Times New Roman" w:hAnsi="Times New Roman"/>
          <w:sz w:val="24"/>
          <w:szCs w:val="24"/>
        </w:rPr>
        <w:t>создают</w:t>
      </w:r>
      <w:r w:rsidR="006C07A0">
        <w:rPr>
          <w:rFonts w:ascii="Times New Roman" w:hAnsi="Times New Roman"/>
          <w:sz w:val="24"/>
          <w:szCs w:val="24"/>
        </w:rPr>
        <w:t xml:space="preserve"> экспортную структуру страны, формируют значительную доходную часть бюджета, обеспечивают энергетическую и экономическую безопасность страны и занимают особое место в структуре занятости. В этой связи вопросы стратегического развития подобных регионов – это принципиально важная задача не только самих регионов</w:t>
      </w:r>
      <w:r w:rsidR="00013AB7">
        <w:rPr>
          <w:rFonts w:ascii="Times New Roman" w:hAnsi="Times New Roman"/>
          <w:sz w:val="24"/>
          <w:szCs w:val="24"/>
        </w:rPr>
        <w:t xml:space="preserve"> </w:t>
      </w:r>
      <w:r w:rsidR="006C07A0">
        <w:rPr>
          <w:rFonts w:ascii="Times New Roman" w:hAnsi="Times New Roman"/>
          <w:sz w:val="24"/>
          <w:szCs w:val="24"/>
        </w:rPr>
        <w:t>как субнациональных образований, но и задача национального масштаба.</w:t>
      </w:r>
    </w:p>
    <w:p w:rsidR="006C07A0" w:rsidRDefault="006C07A0" w:rsidP="005412A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Задачи подобного масштаба и значимости должны иметь в своей основе четкую методологическую базу, в отсутствие которой достижение долгосрочных целей выглядит крайне маловероятным. Необходимую методологическую основу формиру</w:t>
      </w:r>
      <w:r w:rsidR="00013AB7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т теория стратегии и методология стратегирования иностранного члена РАН, профессора В.Л. Квинта </w:t>
      </w:r>
      <w:r w:rsidRPr="006C07A0">
        <w:rPr>
          <w:rFonts w:ascii="Times New Roman" w:hAnsi="Times New Roman"/>
          <w:sz w:val="24"/>
          <w:szCs w:val="24"/>
        </w:rPr>
        <w:t>[</w:t>
      </w:r>
      <w:r w:rsidR="00023E4B">
        <w:rPr>
          <w:rFonts w:ascii="Times New Roman" w:hAnsi="Times New Roman"/>
          <w:sz w:val="24"/>
          <w:szCs w:val="24"/>
        </w:rPr>
        <w:t>1</w:t>
      </w:r>
      <w:r w:rsidR="006C62B7">
        <w:rPr>
          <w:rFonts w:ascii="Times New Roman" w:hAnsi="Times New Roman"/>
          <w:sz w:val="24"/>
          <w:szCs w:val="24"/>
        </w:rPr>
        <w:t>; 4</w:t>
      </w:r>
      <w:r w:rsidR="00023E4B" w:rsidRPr="00023E4B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. В силу универсальности применение данной методологии возможно для разных объектов стратегирования, в том числе для ресурсоориентированных регионов – тех </w:t>
      </w:r>
      <w:r w:rsidRPr="006C07A0">
        <w:rPr>
          <w:rFonts w:ascii="Times New Roman" w:hAnsi="Times New Roman"/>
          <w:i/>
          <w:iCs/>
          <w:sz w:val="24"/>
          <w:szCs w:val="24"/>
        </w:rPr>
        <w:t>регионов, в которых экономическая конфигурация направлена в первую очередь на реализацию конкурентных преимуществ, обусловленных природно-ресурсным потенциалом</w:t>
      </w:r>
      <w:r>
        <w:rPr>
          <w:rFonts w:ascii="Times New Roman" w:hAnsi="Times New Roman"/>
          <w:sz w:val="24"/>
          <w:szCs w:val="24"/>
        </w:rPr>
        <w:t>.</w:t>
      </w:r>
    </w:p>
    <w:p w:rsidR="00FC3E11" w:rsidRDefault="00FC3E11" w:rsidP="005412A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Одним из первых и ключевых этапов указанной методологии является анализ стратегических трендов, формирующих будущее состояние среды, в которой будет функционировать объект стратегирования, поэтому понимание и интерпретация трендов на основе предметных знаний и интуиции способно сформировать представление о потенциальных возможностях и угрозах, а также проанализировать, способен ли регион реализовать эти возможности и нивелировать угрозы. Учитывая принципиальную важность этого этапа, </w:t>
      </w:r>
      <w:r w:rsidR="00442A61">
        <w:rPr>
          <w:rFonts w:ascii="Times New Roman" w:hAnsi="Times New Roman"/>
          <w:sz w:val="24"/>
          <w:szCs w:val="24"/>
        </w:rPr>
        <w:t>необходимо более детально остановиться на процедурах анализа трендов и отличительных особенностях данного процесса в контексте ресурсоориентированных регионов.</w:t>
      </w:r>
    </w:p>
    <w:p w:rsidR="00442A61" w:rsidRDefault="00442A61" w:rsidP="005412A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первую очередь тренды необходимо дифференцировать по масштабу и характера влияния</w:t>
      </w:r>
      <w:r w:rsidR="006C62B7" w:rsidRPr="006C62B7">
        <w:rPr>
          <w:rFonts w:ascii="Times New Roman" w:hAnsi="Times New Roman"/>
          <w:sz w:val="24"/>
          <w:szCs w:val="24"/>
        </w:rPr>
        <w:t xml:space="preserve"> [</w:t>
      </w:r>
      <w:r w:rsidR="006C62B7">
        <w:rPr>
          <w:rFonts w:ascii="Times New Roman" w:hAnsi="Times New Roman"/>
          <w:sz w:val="24"/>
          <w:szCs w:val="24"/>
        </w:rPr>
        <w:t>2</w:t>
      </w:r>
      <w:r w:rsidR="006C62B7" w:rsidRPr="006C62B7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, определить релевантные тренды </w:t>
      </w:r>
      <w:r w:rsidR="00013AB7">
        <w:rPr>
          <w:rFonts w:ascii="Times New Roman" w:hAnsi="Times New Roman"/>
          <w:sz w:val="24"/>
          <w:szCs w:val="24"/>
        </w:rPr>
        <w:t>с учетом</w:t>
      </w:r>
      <w:r>
        <w:rPr>
          <w:rFonts w:ascii="Times New Roman" w:hAnsi="Times New Roman"/>
          <w:sz w:val="24"/>
          <w:szCs w:val="24"/>
        </w:rPr>
        <w:t xml:space="preserve"> следующи</w:t>
      </w:r>
      <w:r w:rsidR="00013AB7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принципиальны</w:t>
      </w:r>
      <w:r w:rsidR="00013AB7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момент</w:t>
      </w:r>
      <w:r w:rsidR="00013AB7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:</w:t>
      </w:r>
    </w:p>
    <w:p w:rsidR="00442A61" w:rsidRDefault="00442A61" w:rsidP="00442A61">
      <w:pPr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каналы влияния и трансмиссионные механизмы;</w:t>
      </w:r>
    </w:p>
    <w:p w:rsidR="00442A61" w:rsidRPr="00442A61" w:rsidRDefault="00442A61" w:rsidP="00442A61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Ц</w:t>
      </w:r>
      <w:r w:rsidRPr="00442A61">
        <w:rPr>
          <w:rFonts w:ascii="Times New Roman" w:hAnsi="Times New Roman"/>
          <w:i/>
          <w:iCs/>
          <w:sz w:val="24"/>
          <w:szCs w:val="24"/>
        </w:rPr>
        <w:t>елесообразно декомпозировать тренд на максимально возможное интерпретируемое количество каналов влияния, в которых может быть оценен трансмиссионный механизм – это позволит получить аппроксимацию влияния конкретного тренда на объект стратегирования даже с учетом того, что характер взаимосвязи может быть нелинейным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442A61" w:rsidRDefault="00442A61" w:rsidP="00442A61">
      <w:pPr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фазы трендов;</w:t>
      </w:r>
    </w:p>
    <w:p w:rsidR="00442A61" w:rsidRPr="006C62B7" w:rsidRDefault="00442A61" w:rsidP="00442A61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</w:t>
      </w:r>
      <w:r w:rsidRPr="00442A61">
        <w:rPr>
          <w:rFonts w:ascii="Times New Roman" w:hAnsi="Times New Roman"/>
          <w:i/>
          <w:iCs/>
          <w:sz w:val="24"/>
          <w:szCs w:val="24"/>
        </w:rPr>
        <w:t>ажно учитывать продолжительность тренда и его фазу в момент анализа ввиду детерминирующего фактора времени, так как затухающие тренды в меньшей степени определяют будущее состояние среды и могут уже не создавать «окно возможностей».</w:t>
      </w:r>
      <w:r w:rsidR="00023E4B">
        <w:rPr>
          <w:rFonts w:ascii="Times New Roman" w:hAnsi="Times New Roman"/>
          <w:i/>
          <w:iCs/>
          <w:sz w:val="24"/>
          <w:szCs w:val="24"/>
        </w:rPr>
        <w:t xml:space="preserve"> Важность учета фазы трендов отмечена в работе Н.И. Сасаева </w:t>
      </w:r>
      <w:r w:rsidR="00023E4B" w:rsidRPr="00023E4B">
        <w:rPr>
          <w:rFonts w:ascii="Times New Roman" w:hAnsi="Times New Roman"/>
          <w:i/>
          <w:iCs/>
          <w:sz w:val="24"/>
          <w:szCs w:val="24"/>
        </w:rPr>
        <w:t>[</w:t>
      </w:r>
      <w:r w:rsidR="006C62B7">
        <w:rPr>
          <w:rFonts w:ascii="Times New Roman" w:hAnsi="Times New Roman"/>
          <w:i/>
          <w:iCs/>
          <w:sz w:val="24"/>
          <w:szCs w:val="24"/>
        </w:rPr>
        <w:t>3</w:t>
      </w:r>
      <w:r w:rsidR="00023E4B" w:rsidRPr="00023E4B">
        <w:rPr>
          <w:rFonts w:ascii="Times New Roman" w:hAnsi="Times New Roman"/>
          <w:i/>
          <w:iCs/>
          <w:sz w:val="24"/>
          <w:szCs w:val="24"/>
        </w:rPr>
        <w:t>]</w:t>
      </w:r>
      <w:r w:rsidR="00023E4B">
        <w:rPr>
          <w:rFonts w:ascii="Times New Roman" w:hAnsi="Times New Roman"/>
          <w:i/>
          <w:iCs/>
          <w:sz w:val="24"/>
          <w:szCs w:val="24"/>
        </w:rPr>
        <w:t>.</w:t>
      </w:r>
    </w:p>
    <w:p w:rsidR="00442A61" w:rsidRDefault="00442A61" w:rsidP="00442A61">
      <w:pPr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совместного влияния и потенциал синергетического эффекта;</w:t>
      </w:r>
    </w:p>
    <w:p w:rsidR="00FC3E11" w:rsidRPr="00442A61" w:rsidRDefault="00442A61" w:rsidP="005412A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ab/>
        <w:t>Т</w:t>
      </w:r>
      <w:r w:rsidRPr="00442A61">
        <w:rPr>
          <w:rFonts w:ascii="Times New Roman" w:hAnsi="Times New Roman"/>
          <w:i/>
          <w:iCs/>
          <w:sz w:val="24"/>
          <w:szCs w:val="24"/>
        </w:rPr>
        <w:t>ренды могут быть зависимыми и независимыми. Независимые тренды могут анализироваться как по отдельности, так и совместно – ввиду отсутствия взаимовлияния эффекты не будут суммироваться или нивелировать друг друга. Принципиально иная ситуация складывается при анализе зависимых трендов, так как они могут давать совместный эффект (синергия)</w:t>
      </w:r>
      <w:r>
        <w:rPr>
          <w:rFonts w:ascii="Times New Roman" w:hAnsi="Times New Roman"/>
          <w:i/>
          <w:iCs/>
          <w:sz w:val="24"/>
          <w:szCs w:val="24"/>
        </w:rPr>
        <w:t>, либо нивелировать влияние друг друга.</w:t>
      </w:r>
    </w:p>
    <w:p w:rsidR="00442A61" w:rsidRDefault="006C07A0" w:rsidP="005412A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442A61">
        <w:rPr>
          <w:rFonts w:ascii="Times New Roman" w:hAnsi="Times New Roman"/>
          <w:sz w:val="24"/>
          <w:szCs w:val="24"/>
        </w:rPr>
        <w:t>После этого трендам необходимо дать концептуально-смысловую оценку – в терминах методологии стратегирования это позволяет определить возможности и угрозы. Подобная оценка может быть формализована следующим образом:</w:t>
      </w:r>
    </w:p>
    <w:p w:rsidR="006C62B7" w:rsidRPr="00305A81" w:rsidRDefault="006C62B7" w:rsidP="005412A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2A61" w:rsidRPr="006C62B7" w:rsidRDefault="006F1239" w:rsidP="00442A61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</w:rPr>
      </w:pPr>
      <m:oMathPara>
        <m:oMath>
          <m:r>
            <w:rPr>
              <w:rFonts w:ascii="Cambria Math" w:hAnsi="Cambria Math"/>
            </w:rPr>
            <m:t>y= sgn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/>
            </w:rPr>
            <m:t>,</m:t>
          </m:r>
        </m:oMath>
      </m:oMathPara>
    </w:p>
    <w:p w:rsidR="006C62B7" w:rsidRDefault="006C62B7" w:rsidP="00442A61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30E0D" w:rsidRDefault="00A30E0D" w:rsidP="00A30E0D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30E0D">
        <w:rPr>
          <w:rFonts w:ascii="Times New Roman" w:hAnsi="Times New Roman"/>
          <w:sz w:val="24"/>
          <w:szCs w:val="24"/>
        </w:rPr>
        <w:t xml:space="preserve">где </w:t>
      </w:r>
      <w:r w:rsidRPr="00A30E0D">
        <w:rPr>
          <w:rFonts w:ascii="Times New Roman" w:hAnsi="Times New Roman"/>
          <w:i/>
          <w:iCs/>
          <w:sz w:val="24"/>
          <w:szCs w:val="24"/>
        </w:rPr>
        <w:t>a</w:t>
      </w:r>
      <w:proofErr w:type="spellStart"/>
      <w:r w:rsidRPr="00A30E0D">
        <w:rPr>
          <w:rFonts w:ascii="Times New Roman" w:hAnsi="Times New Roman"/>
          <w:i/>
          <w:iCs/>
          <w:sz w:val="24"/>
          <w:szCs w:val="24"/>
          <w:vertAlign w:val="subscript"/>
          <w:lang w:val="en-US"/>
        </w:rPr>
        <w:t>i</w:t>
      </w:r>
      <w:proofErr w:type="spellEnd"/>
      <w:r w:rsidRPr="00A30E0D">
        <w:rPr>
          <w:rFonts w:ascii="Times New Roman" w:hAnsi="Times New Roman"/>
          <w:sz w:val="24"/>
          <w:szCs w:val="24"/>
        </w:rPr>
        <w:t xml:space="preserve"> принимает значение 1 (если трансмиссионный механизм положительный, то есть благоприятствует развитию объекта стратегирования и является возможностью) или -1 (в противном случае, то есть если тренд представляет собой угрозу), а </w:t>
      </w:r>
      <w:r w:rsidRPr="00A30E0D">
        <w:rPr>
          <w:rFonts w:ascii="Times New Roman" w:hAnsi="Times New Roman"/>
          <w:i/>
          <w:iCs/>
          <w:sz w:val="24"/>
          <w:szCs w:val="24"/>
        </w:rPr>
        <w:t>x</w:t>
      </w:r>
      <w:proofErr w:type="spellStart"/>
      <w:r w:rsidRPr="00A30E0D">
        <w:rPr>
          <w:rFonts w:ascii="Times New Roman" w:hAnsi="Times New Roman"/>
          <w:i/>
          <w:iCs/>
          <w:sz w:val="24"/>
          <w:szCs w:val="24"/>
          <w:vertAlign w:val="subscript"/>
          <w:lang w:val="en-US"/>
        </w:rPr>
        <w:t>i</w:t>
      </w:r>
      <w:proofErr w:type="spellEnd"/>
      <w:r w:rsidRPr="00A30E0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30E0D">
        <w:rPr>
          <w:rFonts w:ascii="Times New Roman" w:hAnsi="Times New Roman"/>
          <w:sz w:val="24"/>
          <w:szCs w:val="24"/>
        </w:rPr>
        <w:t>представляет собой оценку степени влияния i-того механизма на объект стратегирования (мощь канала влияния).</w:t>
      </w:r>
      <w:r>
        <w:rPr>
          <w:rFonts w:ascii="Times New Roman" w:hAnsi="Times New Roman"/>
          <w:sz w:val="24"/>
          <w:szCs w:val="24"/>
        </w:rPr>
        <w:t xml:space="preserve"> Оценки степени влияния выставляются экспертно (при этом могут использоваться математические и статистические методы высоко</w:t>
      </w:r>
      <w:r w:rsidR="00013AB7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 xml:space="preserve"> уровня).</w:t>
      </w:r>
    </w:p>
    <w:p w:rsidR="00A30E0D" w:rsidRPr="006C62B7" w:rsidRDefault="00A30E0D" w:rsidP="006C62B7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Данная процедура математически проста, но позволяет сформировать представление о лежащих в основе тренда процессах и подпроцессах</w:t>
      </w:r>
      <w:r w:rsidR="00013AB7">
        <w:rPr>
          <w:rFonts w:ascii="Times New Roman" w:hAnsi="Times New Roman"/>
          <w:sz w:val="24"/>
          <w:szCs w:val="24"/>
        </w:rPr>
        <w:t>. Н</w:t>
      </w:r>
      <w:r>
        <w:rPr>
          <w:rFonts w:ascii="Times New Roman" w:hAnsi="Times New Roman"/>
          <w:sz w:val="24"/>
          <w:szCs w:val="24"/>
        </w:rPr>
        <w:t>аиболее удобным</w:t>
      </w:r>
      <w:r w:rsidR="00013AB7">
        <w:rPr>
          <w:rFonts w:ascii="Times New Roman" w:hAnsi="Times New Roman"/>
          <w:sz w:val="24"/>
          <w:szCs w:val="24"/>
        </w:rPr>
        <w:t xml:space="preserve"> и репрезентативным </w:t>
      </w:r>
      <w:r>
        <w:rPr>
          <w:rFonts w:ascii="Times New Roman" w:hAnsi="Times New Roman"/>
          <w:sz w:val="24"/>
          <w:szCs w:val="24"/>
        </w:rPr>
        <w:t>способом отражения</w:t>
      </w:r>
      <w:r w:rsidR="006C62B7">
        <w:rPr>
          <w:rFonts w:ascii="Times New Roman" w:hAnsi="Times New Roman"/>
          <w:sz w:val="24"/>
          <w:szCs w:val="24"/>
        </w:rPr>
        <w:t xml:space="preserve"> результатов</w:t>
      </w:r>
      <w:r>
        <w:rPr>
          <w:rFonts w:ascii="Times New Roman" w:hAnsi="Times New Roman"/>
          <w:sz w:val="24"/>
          <w:szCs w:val="24"/>
        </w:rPr>
        <w:t xml:space="preserve"> является</w:t>
      </w:r>
      <w:r w:rsidR="00013A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табличный формат</w:t>
      </w:r>
      <w:r w:rsidR="006C62B7">
        <w:rPr>
          <w:rFonts w:ascii="Times New Roman" w:hAnsi="Times New Roman"/>
          <w:sz w:val="24"/>
          <w:szCs w:val="24"/>
        </w:rPr>
        <w:t xml:space="preserve">, содержащий попозиционное описание канала влияния, оценку знака влияния, оценку мощи канала и итоговые оценки. </w:t>
      </w:r>
    </w:p>
    <w:p w:rsidR="00023E4B" w:rsidRDefault="00023E4B" w:rsidP="00032F9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ресурсоориентированных регионов в силу их специфики целесообразен учет следующих особенностей:</w:t>
      </w:r>
    </w:p>
    <w:p w:rsidR="00023E4B" w:rsidRDefault="00023E4B" w:rsidP="00023E4B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Акцент на первоочередной необходимости учета конъюнктуры рынка энергоносителей.</w:t>
      </w:r>
    </w:p>
    <w:p w:rsidR="00023E4B" w:rsidRDefault="00023E4B" w:rsidP="00023E4B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чувствительность к технологическому развитию в отрасли добычи полезных ископаемых.</w:t>
      </w:r>
    </w:p>
    <w:p w:rsidR="00023E4B" w:rsidRDefault="00023E4B" w:rsidP="00023E4B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Экологический вектор.</w:t>
      </w:r>
    </w:p>
    <w:p w:rsidR="00023E4B" w:rsidRDefault="00023E4B" w:rsidP="00023E4B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Кадровый потенциал и борьба за кадровые ресурсы.</w:t>
      </w:r>
    </w:p>
    <w:p w:rsidR="00023E4B" w:rsidRDefault="00023E4B" w:rsidP="00023E4B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Конкурентное развитие социальной инфраструктуры.</w:t>
      </w:r>
    </w:p>
    <w:p w:rsidR="00023E4B" w:rsidRDefault="00023E4B" w:rsidP="00023E4B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Туристические потоки.</w:t>
      </w:r>
    </w:p>
    <w:p w:rsidR="006C62B7" w:rsidRDefault="006C62B7" w:rsidP="006C62B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 итогам анализа трендов формируется специфический прогноз для объекта стратегирования, который учитывается на последующих этапах, поэтому анализ трендов фактически представляет собой отправную точку, от которой завис</w:t>
      </w:r>
      <w:r w:rsidR="00E206D9">
        <w:rPr>
          <w:rFonts w:ascii="Times New Roman" w:hAnsi="Times New Roman"/>
          <w:sz w:val="24"/>
          <w:szCs w:val="24"/>
        </w:rPr>
        <w:t xml:space="preserve">ит весь </w:t>
      </w:r>
      <w:r>
        <w:rPr>
          <w:rFonts w:ascii="Times New Roman" w:hAnsi="Times New Roman"/>
          <w:sz w:val="24"/>
          <w:szCs w:val="24"/>
        </w:rPr>
        <w:t>последующи</w:t>
      </w:r>
      <w:r w:rsidR="00E206D9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процесс</w:t>
      </w:r>
      <w:r w:rsidR="00E206D9">
        <w:rPr>
          <w:rFonts w:ascii="Times New Roman" w:hAnsi="Times New Roman"/>
          <w:sz w:val="24"/>
          <w:szCs w:val="24"/>
        </w:rPr>
        <w:t xml:space="preserve"> стратегирования.</w:t>
      </w:r>
    </w:p>
    <w:p w:rsidR="006C62B7" w:rsidRPr="006C62B7" w:rsidRDefault="006C62B7" w:rsidP="006C62B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542F" w:rsidRPr="00023E4B" w:rsidRDefault="00D8542F" w:rsidP="00023E4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542F" w:rsidRPr="00032F9C" w:rsidRDefault="00D8542F" w:rsidP="00032F9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6F4B05" w:rsidRPr="00032F9C" w:rsidRDefault="00F11329" w:rsidP="00032F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</w:t>
      </w:r>
    </w:p>
    <w:p w:rsidR="00023E4B" w:rsidRPr="00013AB7" w:rsidRDefault="00023E4B" w:rsidP="0090554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13A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Квинт</w:t>
      </w:r>
      <w:r w:rsidRPr="00023E4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 </w:t>
      </w:r>
      <w:r w:rsidRPr="00013A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В.Л. Концепция стратегирования. Т.</w:t>
      </w:r>
      <w:r w:rsidRPr="00023E4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  <w:r w:rsidRPr="00013A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– СПб.: СЗИУ РАНХиГС, 2022. – 132 с.: ил. – (Библиотека стратега).</w:t>
      </w:r>
    </w:p>
    <w:p w:rsidR="0090554C" w:rsidRDefault="00023E4B" w:rsidP="0090554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6C62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Новикова И.В. Стратегирование развития трудовых ресурсов: основные элементы и этапы // Стратегирование: теория и практика. </w:t>
      </w:r>
      <w:r w:rsidRPr="00023E4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2021. Т. 1. № 1. С. 57–65.</w:t>
      </w:r>
    </w:p>
    <w:p w:rsidR="00023E4B" w:rsidRDefault="00023E4B" w:rsidP="0090554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013A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Сасаев Н.И. Теоретико-методологические основы стратегического анализа трендов в отраслевом стратегировании //Модели, системы, сети в экономике, технике, природе и обществе. – 2021. – №. </w:t>
      </w:r>
      <w:r w:rsidRPr="00023E4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4. – С. 5-15.</w:t>
      </w:r>
    </w:p>
    <w:p w:rsidR="00023E4B" w:rsidRDefault="00023E4B" w:rsidP="00023E4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9055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Kvint V.L. The Global Emerging Market: Strategic Management and Economics. Routledge. NY, 2009. 488 p.</w:t>
      </w:r>
    </w:p>
    <w:p w:rsidR="00023E4B" w:rsidRPr="00023E4B" w:rsidRDefault="00023E4B" w:rsidP="00023E4B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0956E0" w:rsidRPr="00023E4B" w:rsidRDefault="000956E0" w:rsidP="00930B04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sectPr w:rsidR="000956E0" w:rsidRPr="00023E4B" w:rsidSect="00F937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48E0"/>
    <w:multiLevelType w:val="hybridMultilevel"/>
    <w:tmpl w:val="CBB8F66E"/>
    <w:lvl w:ilvl="0" w:tplc="791461F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586077"/>
    <w:multiLevelType w:val="hybridMultilevel"/>
    <w:tmpl w:val="1676F76A"/>
    <w:lvl w:ilvl="0" w:tplc="0ACEB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/>
        <w:spacing w:val="-5"/>
        <w:w w:val="100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C07BF"/>
    <w:multiLevelType w:val="hybridMultilevel"/>
    <w:tmpl w:val="D292C0EA"/>
    <w:lvl w:ilvl="0" w:tplc="452C34A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AC1D5D"/>
    <w:multiLevelType w:val="hybridMultilevel"/>
    <w:tmpl w:val="11A8C09C"/>
    <w:lvl w:ilvl="0" w:tplc="3FD0A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D0CDB"/>
    <w:multiLevelType w:val="hybridMultilevel"/>
    <w:tmpl w:val="D68C3434"/>
    <w:lvl w:ilvl="0" w:tplc="12209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683436"/>
    <w:multiLevelType w:val="hybridMultilevel"/>
    <w:tmpl w:val="5D8AD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101323">
    <w:abstractNumId w:val="2"/>
  </w:num>
  <w:num w:numId="2" w16cid:durableId="1469317455">
    <w:abstractNumId w:val="3"/>
  </w:num>
  <w:num w:numId="3" w16cid:durableId="14432575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5400463">
    <w:abstractNumId w:val="0"/>
  </w:num>
  <w:num w:numId="5" w16cid:durableId="1976520385">
    <w:abstractNumId w:val="5"/>
  </w:num>
  <w:num w:numId="6" w16cid:durableId="1993750241">
    <w:abstractNumId w:val="1"/>
  </w:num>
  <w:num w:numId="7" w16cid:durableId="2146775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8D"/>
    <w:rsid w:val="00013AB7"/>
    <w:rsid w:val="00023E4B"/>
    <w:rsid w:val="000308B0"/>
    <w:rsid w:val="00032F9C"/>
    <w:rsid w:val="00040EE3"/>
    <w:rsid w:val="0008404B"/>
    <w:rsid w:val="000868CD"/>
    <w:rsid w:val="000956E0"/>
    <w:rsid w:val="000B2640"/>
    <w:rsid w:val="000B30E2"/>
    <w:rsid w:val="000F5932"/>
    <w:rsid w:val="000F680E"/>
    <w:rsid w:val="0010735B"/>
    <w:rsid w:val="00113917"/>
    <w:rsid w:val="00131B39"/>
    <w:rsid w:val="001704AA"/>
    <w:rsid w:val="00190D9F"/>
    <w:rsid w:val="001D4754"/>
    <w:rsid w:val="0021361D"/>
    <w:rsid w:val="00237FD9"/>
    <w:rsid w:val="00260DAB"/>
    <w:rsid w:val="00271FFB"/>
    <w:rsid w:val="002B5AE0"/>
    <w:rsid w:val="002D2051"/>
    <w:rsid w:val="002F0F02"/>
    <w:rsid w:val="00305A81"/>
    <w:rsid w:val="0033789B"/>
    <w:rsid w:val="00380CA5"/>
    <w:rsid w:val="003919EA"/>
    <w:rsid w:val="003E0939"/>
    <w:rsid w:val="003E3287"/>
    <w:rsid w:val="004112E5"/>
    <w:rsid w:val="00442A61"/>
    <w:rsid w:val="00466C82"/>
    <w:rsid w:val="00475837"/>
    <w:rsid w:val="0047784F"/>
    <w:rsid w:val="004A1E5B"/>
    <w:rsid w:val="004B6DAB"/>
    <w:rsid w:val="004C5764"/>
    <w:rsid w:val="004D325E"/>
    <w:rsid w:val="0051247E"/>
    <w:rsid w:val="00522C7F"/>
    <w:rsid w:val="005254EA"/>
    <w:rsid w:val="00535554"/>
    <w:rsid w:val="005412A2"/>
    <w:rsid w:val="00552703"/>
    <w:rsid w:val="005600D5"/>
    <w:rsid w:val="005852B2"/>
    <w:rsid w:val="005A0C89"/>
    <w:rsid w:val="005B2472"/>
    <w:rsid w:val="005D1908"/>
    <w:rsid w:val="0060369E"/>
    <w:rsid w:val="00676B45"/>
    <w:rsid w:val="006800A4"/>
    <w:rsid w:val="00684F7E"/>
    <w:rsid w:val="006B2E0B"/>
    <w:rsid w:val="006C07A0"/>
    <w:rsid w:val="006C62B7"/>
    <w:rsid w:val="006C6E77"/>
    <w:rsid w:val="006D2E38"/>
    <w:rsid w:val="006F1239"/>
    <w:rsid w:val="006F4B05"/>
    <w:rsid w:val="00741B7E"/>
    <w:rsid w:val="00745B9E"/>
    <w:rsid w:val="00786DBE"/>
    <w:rsid w:val="00794017"/>
    <w:rsid w:val="00795321"/>
    <w:rsid w:val="007D0AE1"/>
    <w:rsid w:val="007E5BF2"/>
    <w:rsid w:val="00811E4F"/>
    <w:rsid w:val="00832D46"/>
    <w:rsid w:val="00865693"/>
    <w:rsid w:val="008A02EF"/>
    <w:rsid w:val="008B4542"/>
    <w:rsid w:val="008C79BE"/>
    <w:rsid w:val="00903823"/>
    <w:rsid w:val="0090554C"/>
    <w:rsid w:val="0091631A"/>
    <w:rsid w:val="00930B04"/>
    <w:rsid w:val="00966F38"/>
    <w:rsid w:val="00977336"/>
    <w:rsid w:val="009A7BEC"/>
    <w:rsid w:val="009B0A84"/>
    <w:rsid w:val="009B1AD4"/>
    <w:rsid w:val="009E52AA"/>
    <w:rsid w:val="009F11B1"/>
    <w:rsid w:val="00A30E0D"/>
    <w:rsid w:val="00A41E5F"/>
    <w:rsid w:val="00AA0C49"/>
    <w:rsid w:val="00AB6184"/>
    <w:rsid w:val="00AC1030"/>
    <w:rsid w:val="00AE3D30"/>
    <w:rsid w:val="00AE4E46"/>
    <w:rsid w:val="00B1264D"/>
    <w:rsid w:val="00B571E4"/>
    <w:rsid w:val="00BB4E1E"/>
    <w:rsid w:val="00BC56C2"/>
    <w:rsid w:val="00BC5F20"/>
    <w:rsid w:val="00BF2A2E"/>
    <w:rsid w:val="00C465BB"/>
    <w:rsid w:val="00CC2D36"/>
    <w:rsid w:val="00CC474E"/>
    <w:rsid w:val="00CD3E26"/>
    <w:rsid w:val="00CE5500"/>
    <w:rsid w:val="00CE5695"/>
    <w:rsid w:val="00D05221"/>
    <w:rsid w:val="00D12D0D"/>
    <w:rsid w:val="00D163A1"/>
    <w:rsid w:val="00D8542F"/>
    <w:rsid w:val="00DA2E06"/>
    <w:rsid w:val="00DB05B1"/>
    <w:rsid w:val="00DC2373"/>
    <w:rsid w:val="00DC3B02"/>
    <w:rsid w:val="00DE2C07"/>
    <w:rsid w:val="00E206D9"/>
    <w:rsid w:val="00E260EB"/>
    <w:rsid w:val="00E36EBA"/>
    <w:rsid w:val="00E57D79"/>
    <w:rsid w:val="00E70EF4"/>
    <w:rsid w:val="00E75017"/>
    <w:rsid w:val="00E97155"/>
    <w:rsid w:val="00E978D6"/>
    <w:rsid w:val="00EB35E1"/>
    <w:rsid w:val="00EE48F7"/>
    <w:rsid w:val="00EE495C"/>
    <w:rsid w:val="00F11329"/>
    <w:rsid w:val="00F13011"/>
    <w:rsid w:val="00F9378D"/>
    <w:rsid w:val="00F9619A"/>
    <w:rsid w:val="00FA7C6E"/>
    <w:rsid w:val="00FB75F6"/>
    <w:rsid w:val="00FC3E11"/>
    <w:rsid w:val="00FE034C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68EFF"/>
  <w15:chartTrackingRefBased/>
  <w15:docId w15:val="{D93247AA-0AD9-754E-AB6C-F5360EDC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B05"/>
    <w:pPr>
      <w:ind w:left="720"/>
      <w:contextualSpacing/>
    </w:pPr>
  </w:style>
  <w:style w:type="character" w:styleId="a4">
    <w:name w:val="Hyperlink"/>
    <w:uiPriority w:val="99"/>
    <w:unhideWhenUsed/>
    <w:rsid w:val="00131B39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131B39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032F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032F9C"/>
    <w:rPr>
      <w:b/>
      <w:bCs/>
    </w:rPr>
  </w:style>
  <w:style w:type="character" w:styleId="a8">
    <w:name w:val="Emphasis"/>
    <w:uiPriority w:val="20"/>
    <w:qFormat/>
    <w:rsid w:val="00032F9C"/>
    <w:rPr>
      <w:i/>
      <w:iCs/>
    </w:rPr>
  </w:style>
  <w:style w:type="table" w:styleId="a9">
    <w:name w:val="Table Grid"/>
    <w:basedOn w:val="a1"/>
    <w:rsid w:val="00A30E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0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3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1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4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8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1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61709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89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810CF-25CF-4F8D-ABD5-CEA6D2EDC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Роман Герелишин</cp:lastModifiedBy>
  <cp:revision>5</cp:revision>
  <dcterms:created xsi:type="dcterms:W3CDTF">2024-02-12T15:49:00Z</dcterms:created>
  <dcterms:modified xsi:type="dcterms:W3CDTF">2024-02-12T20:00:00Z</dcterms:modified>
</cp:coreProperties>
</file>