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BCD" w:rsidRDefault="000B092F" w:rsidP="000B092F">
      <w:pPr>
        <w:jc w:val="center"/>
        <w:rPr>
          <w:rFonts w:ascii="Times New Roman" w:hAnsi="Times New Roman" w:cs="Times New Roman"/>
          <w:b/>
          <w:bCs/>
        </w:rPr>
      </w:pPr>
      <w:r w:rsidRPr="000B092F">
        <w:rPr>
          <w:rFonts w:ascii="Times New Roman" w:hAnsi="Times New Roman" w:cs="Times New Roman"/>
          <w:b/>
          <w:bCs/>
        </w:rPr>
        <w:t>Роль стратегирования сферы жилья как элемента социально-экономической системы региона</w:t>
      </w:r>
    </w:p>
    <w:p w:rsidR="000B092F" w:rsidRDefault="000B092F" w:rsidP="000B092F">
      <w:pPr>
        <w:jc w:val="center"/>
        <w:rPr>
          <w:rFonts w:ascii="Times New Roman" w:hAnsi="Times New Roman" w:cs="Times New Roman"/>
          <w:b/>
          <w:bCs/>
        </w:rPr>
      </w:pPr>
    </w:p>
    <w:p w:rsidR="000B092F" w:rsidRPr="00082471" w:rsidRDefault="000B092F" w:rsidP="0008247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B092F">
        <w:rPr>
          <w:rFonts w:ascii="Times New Roman" w:hAnsi="Times New Roman" w:cs="Times New Roman"/>
          <w:b/>
          <w:bCs/>
          <w:i/>
          <w:iCs/>
        </w:rPr>
        <w:t>Петрова Полина Михайловна</w:t>
      </w:r>
    </w:p>
    <w:p w:rsidR="000B092F" w:rsidRPr="00032F9C" w:rsidRDefault="000B092F" w:rsidP="000B092F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>
        <w:rPr>
          <w:rStyle w:val="a5"/>
          <w:color w:val="353535"/>
        </w:rPr>
        <w:t>Аспирант кафедры экономической и финансовой стратегии</w:t>
      </w:r>
    </w:p>
    <w:p w:rsidR="000B092F" w:rsidRPr="000B092F" w:rsidRDefault="000B092F" w:rsidP="000B092F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032F9C">
        <w:rPr>
          <w:rStyle w:val="a5"/>
          <w:color w:val="353535"/>
        </w:rPr>
        <w:t xml:space="preserve">Московский государственный </w:t>
      </w:r>
      <w:r w:rsidRPr="000B092F">
        <w:rPr>
          <w:rStyle w:val="a5"/>
          <w:color w:val="353535"/>
        </w:rPr>
        <w:t>университет имени М.В. Ломоносова, </w:t>
      </w:r>
    </w:p>
    <w:p w:rsidR="000B092F" w:rsidRPr="000B092F" w:rsidRDefault="000B092F" w:rsidP="000B092F">
      <w:pPr>
        <w:pStyle w:val="a4"/>
        <w:shd w:val="clear" w:color="auto" w:fill="FFFFFF"/>
        <w:spacing w:before="0" w:beforeAutospacing="0" w:after="0" w:afterAutospacing="0"/>
        <w:jc w:val="center"/>
        <w:rPr>
          <w:color w:val="353535"/>
        </w:rPr>
      </w:pPr>
      <w:r w:rsidRPr="000B092F">
        <w:rPr>
          <w:rStyle w:val="a5"/>
          <w:color w:val="353535"/>
        </w:rPr>
        <w:t>Московская школа экономики, Москва, Россия</w:t>
      </w:r>
    </w:p>
    <w:p w:rsidR="000B092F" w:rsidRPr="00C92579" w:rsidRDefault="000B092F" w:rsidP="00082471">
      <w:pPr>
        <w:jc w:val="center"/>
        <w:rPr>
          <w:rStyle w:val="a5"/>
          <w:rFonts w:ascii="Times New Roman" w:hAnsi="Times New Roman" w:cs="Times New Roman"/>
          <w:color w:val="353535"/>
        </w:rPr>
      </w:pPr>
      <w:r w:rsidRPr="000B092F">
        <w:rPr>
          <w:rStyle w:val="a5"/>
          <w:rFonts w:ascii="Times New Roman" w:hAnsi="Times New Roman" w:cs="Times New Roman"/>
          <w:color w:val="353535"/>
          <w:lang w:val="en-US"/>
        </w:rPr>
        <w:t>E</w:t>
      </w:r>
      <w:r w:rsidRPr="00C92579">
        <w:rPr>
          <w:rStyle w:val="a5"/>
          <w:rFonts w:ascii="Times New Roman" w:hAnsi="Times New Roman" w:cs="Times New Roman"/>
          <w:color w:val="353535"/>
        </w:rPr>
        <w:t>–</w:t>
      </w:r>
      <w:r w:rsidRPr="000B092F">
        <w:rPr>
          <w:rStyle w:val="a5"/>
          <w:rFonts w:ascii="Times New Roman" w:hAnsi="Times New Roman" w:cs="Times New Roman"/>
          <w:color w:val="353535"/>
          <w:lang w:val="en-US"/>
        </w:rPr>
        <w:t>mail</w:t>
      </w:r>
      <w:r w:rsidRPr="00C92579">
        <w:rPr>
          <w:rStyle w:val="a5"/>
          <w:rFonts w:ascii="Times New Roman" w:hAnsi="Times New Roman" w:cs="Times New Roman"/>
          <w:color w:val="353535"/>
        </w:rPr>
        <w:t xml:space="preserve">: </w:t>
      </w:r>
      <w:hyperlink r:id="rId7" w:history="1">
        <w:r w:rsidRPr="003A0568">
          <w:rPr>
            <w:rStyle w:val="a6"/>
            <w:rFonts w:ascii="Times New Roman" w:hAnsi="Times New Roman" w:cs="Times New Roman"/>
            <w:lang w:val="en-US"/>
          </w:rPr>
          <w:t>petrova</w:t>
        </w:r>
        <w:r w:rsidRPr="00C92579">
          <w:rPr>
            <w:rStyle w:val="a6"/>
            <w:rFonts w:ascii="Times New Roman" w:hAnsi="Times New Roman" w:cs="Times New Roman"/>
          </w:rPr>
          <w:t>.</w:t>
        </w:r>
        <w:r w:rsidRPr="003A0568">
          <w:rPr>
            <w:rStyle w:val="a6"/>
            <w:rFonts w:ascii="Times New Roman" w:hAnsi="Times New Roman" w:cs="Times New Roman"/>
            <w:lang w:val="en-US"/>
          </w:rPr>
          <w:t>p</w:t>
        </w:r>
        <w:r w:rsidRPr="00C92579">
          <w:rPr>
            <w:rStyle w:val="a6"/>
            <w:rFonts w:ascii="Times New Roman" w:hAnsi="Times New Roman" w:cs="Times New Roman"/>
          </w:rPr>
          <w:t>@</w:t>
        </w:r>
        <w:r w:rsidRPr="003A0568">
          <w:rPr>
            <w:rStyle w:val="a6"/>
            <w:rFonts w:ascii="Times New Roman" w:hAnsi="Times New Roman" w:cs="Times New Roman"/>
            <w:lang w:val="en-US"/>
          </w:rPr>
          <w:t>campus</w:t>
        </w:r>
        <w:r w:rsidRPr="00C92579">
          <w:rPr>
            <w:rStyle w:val="a6"/>
            <w:rFonts w:ascii="Times New Roman" w:hAnsi="Times New Roman" w:cs="Times New Roman"/>
          </w:rPr>
          <w:t>.</w:t>
        </w:r>
        <w:r w:rsidRPr="003A0568">
          <w:rPr>
            <w:rStyle w:val="a6"/>
            <w:rFonts w:ascii="Times New Roman" w:hAnsi="Times New Roman" w:cs="Times New Roman"/>
            <w:lang w:val="en-US"/>
          </w:rPr>
          <w:t>mse</w:t>
        </w:r>
        <w:r w:rsidRPr="00C92579">
          <w:rPr>
            <w:rStyle w:val="a6"/>
            <w:rFonts w:ascii="Times New Roman" w:hAnsi="Times New Roman" w:cs="Times New Roman"/>
          </w:rPr>
          <w:t>-</w:t>
        </w:r>
        <w:r w:rsidRPr="003A0568">
          <w:rPr>
            <w:rStyle w:val="a6"/>
            <w:rFonts w:ascii="Times New Roman" w:hAnsi="Times New Roman" w:cs="Times New Roman"/>
            <w:lang w:val="en-US"/>
          </w:rPr>
          <w:t>msu</w:t>
        </w:r>
        <w:r w:rsidRPr="00C92579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3A0568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85400C" w:rsidRDefault="00CA6320" w:rsidP="000B092F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Исследование </w:t>
      </w:r>
      <w:r w:rsidRPr="00CA6320">
        <w:rPr>
          <w:rFonts w:ascii="Times New Roman" w:hAnsi="Times New Roman" w:cs="Times New Roman"/>
        </w:rPr>
        <w:t>посвящен</w:t>
      </w:r>
      <w:r>
        <w:rPr>
          <w:rFonts w:ascii="Times New Roman" w:hAnsi="Times New Roman" w:cs="Times New Roman"/>
        </w:rPr>
        <w:t xml:space="preserve">о изучению </w:t>
      </w:r>
      <w:r w:rsidRPr="00CA6320">
        <w:rPr>
          <w:rFonts w:ascii="Times New Roman" w:hAnsi="Times New Roman" w:cs="Times New Roman"/>
        </w:rPr>
        <w:t xml:space="preserve">фундаментальных научных основ теории, методологии и практики стратегирования одного из важнейших элементов социально-экономической системы региона, оказывающего влияние как на качество жизни населения, так и на стабильное развитие региональной экономики – рынку жилой недвижимости. </w:t>
      </w:r>
      <w:bookmarkStart w:id="0" w:name="OLE_LINK21"/>
      <w:bookmarkStart w:id="1" w:name="OLE_LINK22"/>
      <w:r w:rsidRPr="00CA6320">
        <w:rPr>
          <w:rFonts w:ascii="Times New Roman" w:hAnsi="Times New Roman" w:cs="Times New Roman"/>
          <w:color w:val="000000" w:themeColor="text1"/>
        </w:rPr>
        <w:t>Региональная структура формируется из множества взаимосвязанных систем, каждая из которых включает в себя ряд подсистем и составляющих элемент</w:t>
      </w:r>
      <w:bookmarkEnd w:id="0"/>
      <w:bookmarkEnd w:id="1"/>
      <w:r w:rsidRPr="00CA6320">
        <w:rPr>
          <w:rFonts w:ascii="Times New Roman" w:hAnsi="Times New Roman" w:cs="Times New Roman"/>
          <w:color w:val="000000" w:themeColor="text1"/>
        </w:rPr>
        <w:t>ов. В связи с изменчивостью глобальных, национальных и региональных отраслевых стратегических трендов и тенденций возникает необходимость выделять новые региональные элементы, стратегирование которых особенно актуально в нестационарных условиях.</w:t>
      </w:r>
      <w:r w:rsidRPr="00CA6320">
        <w:rPr>
          <w:color w:val="000000" w:themeColor="text1"/>
        </w:rPr>
        <w:t xml:space="preserve"> </w:t>
      </w:r>
      <w:r w:rsidRPr="00CA6320">
        <w:rPr>
          <w:rFonts w:ascii="Times New Roman" w:hAnsi="Times New Roman" w:cs="Times New Roman"/>
        </w:rPr>
        <w:t xml:space="preserve">Стратегическая устойчивость сферы жилой недвижимости важна для стабильного долгосрочного регионального развития, </w:t>
      </w:r>
      <w:r w:rsidRPr="00CA6320">
        <w:rPr>
          <w:rFonts w:ascii="Times New Roman" w:hAnsi="Times New Roman" w:cs="Times New Roman"/>
          <w:color w:val="000000" w:themeColor="text1"/>
        </w:rPr>
        <w:t>поскольку любые потрясения и шоки, касающиеся цен на жилье и его доступности, скажутся на социальном равновесии общества, материальном и эмоциональном благополучии населения. Таким образом, жилая недвижимость региона — это материальное олицетворение</w:t>
      </w:r>
      <w:r w:rsidRPr="00CA6320">
        <w:rPr>
          <w:rFonts w:ascii="Times New Roman" w:hAnsi="Times New Roman" w:cs="Times New Roman"/>
        </w:rPr>
        <w:t xml:space="preserve"> повышения качества жизни человека</w:t>
      </w:r>
      <w:r w:rsidRPr="00CA6320">
        <w:rPr>
          <w:rFonts w:ascii="Times New Roman" w:hAnsi="Times New Roman" w:cs="Times New Roman"/>
          <w:color w:val="000000" w:themeColor="text1"/>
        </w:rPr>
        <w:t xml:space="preserve">. Кроме того, </w:t>
      </w:r>
      <w:r w:rsidRPr="00CA6320">
        <w:rPr>
          <w:rFonts w:ascii="Times New Roman" w:hAnsi="Times New Roman" w:cs="Times New Roman"/>
          <w:bCs/>
          <w:color w:val="000000" w:themeColor="text1"/>
        </w:rPr>
        <w:t xml:space="preserve">будучи одним из ключевых элементов основных фондов, </w:t>
      </w:r>
      <w:r w:rsidRPr="00CA6320">
        <w:rPr>
          <w:rFonts w:ascii="Times New Roman" w:hAnsi="Times New Roman" w:cs="Times New Roman"/>
          <w:color w:val="000000" w:themeColor="text1"/>
        </w:rPr>
        <w:t>жилищная сфера</w:t>
      </w:r>
      <w:r w:rsidRPr="00CA6320">
        <w:rPr>
          <w:rFonts w:ascii="Times New Roman" w:hAnsi="Times New Roman" w:cs="Times New Roman"/>
          <w:bCs/>
          <w:color w:val="000000" w:themeColor="text1"/>
        </w:rPr>
        <w:t xml:space="preserve"> является неотъемлемой частью экономики региона, предопределяющей ее социально-экономические характеристики и обладающей мультипликативным эффектом на темпы развития иных секторов региональной экономики. </w:t>
      </w:r>
      <w:r w:rsidRPr="00CA6320">
        <w:rPr>
          <w:rFonts w:ascii="Times New Roman" w:hAnsi="Times New Roman" w:cs="Times New Roman"/>
          <w:color w:val="000000" w:themeColor="text1"/>
        </w:rPr>
        <w:t>Оказание поддержки стабильности исследуемой сфере является одним из первостепенных приоритетов при осуществлении стратегического управления развитием регионального рынка жилой недвижимости, которое должно согласовывать интересы всех акторов рынка жилья.</w:t>
      </w:r>
      <w:r w:rsidR="0085400C" w:rsidRPr="0085400C">
        <w:rPr>
          <w:rFonts w:ascii="Times New Roman" w:hAnsi="Times New Roman" w:cs="Times New Roman"/>
          <w:color w:val="000000" w:themeColor="text1"/>
        </w:rPr>
        <w:t xml:space="preserve"> </w:t>
      </w:r>
    </w:p>
    <w:p w:rsidR="000B092F" w:rsidRPr="000B092F" w:rsidRDefault="000B092F" w:rsidP="000B092F">
      <w:pPr>
        <w:ind w:firstLine="708"/>
        <w:jc w:val="both"/>
        <w:rPr>
          <w:rFonts w:ascii="Times New Roman" w:hAnsi="Times New Roman" w:cs="Times New Roman"/>
          <w:color w:val="212529"/>
        </w:rPr>
      </w:pPr>
      <w:r w:rsidRPr="00CA6320">
        <w:rPr>
          <w:rFonts w:ascii="Times New Roman" w:hAnsi="Times New Roman" w:cs="Times New Roman"/>
          <w:bCs/>
          <w:color w:val="000000" w:themeColor="text1"/>
        </w:rPr>
        <w:t xml:space="preserve">Стоит отметить, что </w:t>
      </w:r>
      <w:r w:rsidRPr="00CA6320">
        <w:rPr>
          <w:rFonts w:ascii="Times New Roman" w:hAnsi="Times New Roman" w:cs="Times New Roman"/>
          <w:color w:val="000000" w:themeColor="text1"/>
        </w:rPr>
        <w:t>стратегирование региональных элементов должно быть взаимосвязано и согласовано со стратегиями развития иных элементов социально-экономической системы, а также с учетом ресурсной ограниченности</w:t>
      </w:r>
      <w:r w:rsidR="00C92579" w:rsidRPr="00CA6320">
        <w:rPr>
          <w:rFonts w:ascii="Times New Roman" w:hAnsi="Times New Roman" w:cs="Times New Roman"/>
          <w:color w:val="000000" w:themeColor="text1"/>
        </w:rPr>
        <w:t xml:space="preserve"> [4]</w:t>
      </w:r>
      <w:r w:rsidRPr="00CA6320">
        <w:rPr>
          <w:rFonts w:ascii="Times New Roman" w:hAnsi="Times New Roman" w:cs="Times New Roman"/>
          <w:color w:val="000000" w:themeColor="text1"/>
        </w:rPr>
        <w:t xml:space="preserve">. </w:t>
      </w:r>
      <w:r w:rsidRPr="00CA6320">
        <w:rPr>
          <w:rFonts w:ascii="Times New Roman" w:hAnsi="Times New Roman" w:cs="Times New Roman"/>
          <w:bCs/>
          <w:color w:val="000000" w:themeColor="text1"/>
        </w:rPr>
        <w:t xml:space="preserve">Согласно мнению французского экономиста Ф. </w:t>
      </w:r>
      <w:proofErr w:type="spellStart"/>
      <w:r w:rsidRPr="00CA6320">
        <w:rPr>
          <w:rFonts w:ascii="Times New Roman" w:hAnsi="Times New Roman" w:cs="Times New Roman"/>
          <w:bCs/>
          <w:color w:val="000000" w:themeColor="text1"/>
        </w:rPr>
        <w:t>Перру</w:t>
      </w:r>
      <w:proofErr w:type="spellEnd"/>
      <w:r w:rsidRPr="00CA6320">
        <w:rPr>
          <w:rFonts w:ascii="Times New Roman" w:hAnsi="Times New Roman" w:cs="Times New Roman"/>
          <w:bCs/>
          <w:color w:val="000000" w:themeColor="text1"/>
        </w:rPr>
        <w:t>, национальная экономика базируется на взаимодействии</w:t>
      </w:r>
      <w:r w:rsidRPr="000B092F">
        <w:rPr>
          <w:rFonts w:ascii="Times New Roman" w:hAnsi="Times New Roman" w:cs="Times New Roman"/>
          <w:bCs/>
          <w:color w:val="000000" w:themeColor="text1"/>
        </w:rPr>
        <w:t xml:space="preserve"> регионов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 xml:space="preserve"> [</w:t>
      </w:r>
      <w:r w:rsidR="00A96E2C">
        <w:rPr>
          <w:rFonts w:ascii="Times New Roman" w:hAnsi="Times New Roman" w:cs="Times New Roman"/>
          <w:bCs/>
          <w:color w:val="000000" w:themeColor="text1"/>
        </w:rPr>
        <w:t>8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>]</w:t>
      </w:r>
      <w:r w:rsidRPr="000B092F">
        <w:rPr>
          <w:rFonts w:ascii="Times New Roman" w:hAnsi="Times New Roman" w:cs="Times New Roman"/>
          <w:bCs/>
          <w:color w:val="000000" w:themeColor="text1"/>
        </w:rPr>
        <w:t>. При этом, каждый регион представляет собой сложный, многоуровневый механизм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 xml:space="preserve"> [2]</w:t>
      </w:r>
      <w:r w:rsidRPr="000B092F">
        <w:rPr>
          <w:rFonts w:ascii="Times New Roman" w:hAnsi="Times New Roman" w:cs="Times New Roman"/>
          <w:bCs/>
          <w:color w:val="000000" w:themeColor="text1"/>
        </w:rPr>
        <w:t xml:space="preserve">, состоящий из множества систем, подсистем и элементов. Объектом многих исследований ведущих ученых является социально-экономическая система региона, затрагивающая важнейшие аспекты качества жизни регионального населения. На основе исследований региональной социально-экономической системы академика </w:t>
      </w:r>
      <w:r w:rsidRPr="000B092F">
        <w:rPr>
          <w:rFonts w:ascii="Times New Roman" w:hAnsi="Times New Roman" w:cs="Times New Roman"/>
          <w:color w:val="212529"/>
        </w:rPr>
        <w:t xml:space="preserve">П.А. </w:t>
      </w:r>
      <w:proofErr w:type="spellStart"/>
      <w:r w:rsidRPr="000B092F">
        <w:rPr>
          <w:rFonts w:ascii="Times New Roman" w:hAnsi="Times New Roman" w:cs="Times New Roman"/>
          <w:color w:val="212529"/>
        </w:rPr>
        <w:t>Минакира</w:t>
      </w:r>
      <w:proofErr w:type="spellEnd"/>
      <w:r w:rsidRPr="000B092F">
        <w:rPr>
          <w:rFonts w:ascii="Times New Roman" w:hAnsi="Times New Roman" w:cs="Times New Roman"/>
          <w:color w:val="212529"/>
        </w:rPr>
        <w:t>, можно выделить 6 взаимосвязанных подсистем</w:t>
      </w:r>
      <w:r w:rsidR="002B3D54" w:rsidRPr="002B3D54">
        <w:rPr>
          <w:rFonts w:ascii="Times New Roman" w:hAnsi="Times New Roman" w:cs="Times New Roman"/>
          <w:color w:val="212529"/>
        </w:rPr>
        <w:t xml:space="preserve"> [3,</w:t>
      </w:r>
      <w:r w:rsidR="00082471">
        <w:rPr>
          <w:rFonts w:ascii="Times New Roman" w:hAnsi="Times New Roman" w:cs="Times New Roman"/>
          <w:color w:val="212529"/>
        </w:rPr>
        <w:t>6</w:t>
      </w:r>
      <w:r w:rsidR="002B3D54" w:rsidRPr="002B3D54">
        <w:rPr>
          <w:rFonts w:ascii="Times New Roman" w:hAnsi="Times New Roman" w:cs="Times New Roman"/>
          <w:color w:val="212529"/>
        </w:rPr>
        <w:t>]</w:t>
      </w:r>
      <w:r w:rsidRPr="000B092F">
        <w:rPr>
          <w:rFonts w:ascii="Times New Roman" w:hAnsi="Times New Roman" w:cs="Times New Roman"/>
          <w:color w:val="212529"/>
        </w:rPr>
        <w:t xml:space="preserve">: </w:t>
      </w:r>
    </w:p>
    <w:p w:rsidR="000B092F" w:rsidRPr="000B092F" w:rsidRDefault="000B092F" w:rsidP="000B092F">
      <w:pPr>
        <w:pStyle w:val="ae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>Природно-ресурсная подсистема;</w:t>
      </w:r>
    </w:p>
    <w:p w:rsidR="000B092F" w:rsidRPr="000B092F" w:rsidRDefault="000B092F" w:rsidP="000B092F">
      <w:pPr>
        <w:pStyle w:val="ae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>Производственная подсистема;</w:t>
      </w:r>
    </w:p>
    <w:p w:rsidR="000B092F" w:rsidRPr="000B092F" w:rsidRDefault="000B092F" w:rsidP="000B092F">
      <w:pPr>
        <w:pStyle w:val="ae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>Социальная подсистема;</w:t>
      </w:r>
    </w:p>
    <w:p w:rsidR="000B092F" w:rsidRPr="000B092F" w:rsidRDefault="000B092F" w:rsidP="000B092F">
      <w:pPr>
        <w:pStyle w:val="ae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>Управленческая подсистема;</w:t>
      </w:r>
    </w:p>
    <w:p w:rsidR="000B092F" w:rsidRPr="000B092F" w:rsidRDefault="000B092F" w:rsidP="000B092F">
      <w:pPr>
        <w:pStyle w:val="ae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>Информационная подсистема;</w:t>
      </w:r>
    </w:p>
    <w:p w:rsidR="000B092F" w:rsidRPr="000B092F" w:rsidRDefault="000B092F" w:rsidP="000B092F">
      <w:pPr>
        <w:pStyle w:val="ae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>Инновационная подсистема.</w:t>
      </w:r>
    </w:p>
    <w:p w:rsidR="000B092F" w:rsidRPr="000B092F" w:rsidRDefault="000B092F" w:rsidP="000B092F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 xml:space="preserve">В исследовании предлагается добавление к выделенным на основе фундаментальных трудов академика П.А. </w:t>
      </w:r>
      <w:proofErr w:type="spellStart"/>
      <w:r w:rsidRPr="000B092F">
        <w:rPr>
          <w:rFonts w:ascii="Times New Roman" w:hAnsi="Times New Roman" w:cs="Times New Roman"/>
          <w:bCs/>
          <w:color w:val="000000" w:themeColor="text1"/>
        </w:rPr>
        <w:t>Минакира</w:t>
      </w:r>
      <w:proofErr w:type="spellEnd"/>
      <w:r w:rsidRPr="000B092F">
        <w:rPr>
          <w:rFonts w:ascii="Times New Roman" w:hAnsi="Times New Roman" w:cs="Times New Roman"/>
          <w:bCs/>
          <w:color w:val="000000" w:themeColor="text1"/>
        </w:rPr>
        <w:t xml:space="preserve"> подсистемам еще двух: экологической и финансово-кредитной. Автором была выделена экологическая подсистема в виду ее значимости для социально-экономического развития региона</w:t>
      </w:r>
      <w:r w:rsidR="003A3C12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>[</w:t>
      </w:r>
      <w:r w:rsidR="00225610">
        <w:rPr>
          <w:rFonts w:ascii="Times New Roman" w:hAnsi="Times New Roman" w:cs="Times New Roman"/>
          <w:bCs/>
          <w:color w:val="000000" w:themeColor="text1"/>
        </w:rPr>
        <w:t xml:space="preserve">1, </w:t>
      </w:r>
      <w:r w:rsidR="00082471">
        <w:rPr>
          <w:rFonts w:ascii="Times New Roman" w:hAnsi="Times New Roman" w:cs="Times New Roman"/>
          <w:bCs/>
          <w:color w:val="000000" w:themeColor="text1"/>
        </w:rPr>
        <w:t>7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>]</w:t>
      </w:r>
      <w:r w:rsidRPr="000B092F">
        <w:rPr>
          <w:rFonts w:ascii="Times New Roman" w:hAnsi="Times New Roman" w:cs="Times New Roman"/>
          <w:bCs/>
          <w:color w:val="000000" w:themeColor="text1"/>
        </w:rPr>
        <w:t>, в том числе при оценке инвестиционной привлекательности сферы регионального жилья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 xml:space="preserve"> [</w:t>
      </w:r>
      <w:r w:rsidR="00082471">
        <w:rPr>
          <w:rFonts w:ascii="Times New Roman" w:hAnsi="Times New Roman" w:cs="Times New Roman"/>
          <w:bCs/>
          <w:color w:val="000000" w:themeColor="text1"/>
        </w:rPr>
        <w:t>5</w:t>
      </w:r>
      <w:r w:rsidR="002B3D54" w:rsidRPr="002B3D54">
        <w:rPr>
          <w:rFonts w:ascii="Times New Roman" w:hAnsi="Times New Roman" w:cs="Times New Roman"/>
          <w:bCs/>
          <w:color w:val="000000" w:themeColor="text1"/>
        </w:rPr>
        <w:t>]</w:t>
      </w:r>
      <w:r w:rsidRPr="000B092F">
        <w:rPr>
          <w:rFonts w:ascii="Times New Roman" w:hAnsi="Times New Roman" w:cs="Times New Roman"/>
          <w:bCs/>
          <w:color w:val="000000" w:themeColor="text1"/>
        </w:rPr>
        <w:t xml:space="preserve">. При этом, на стыке финансово-кредитной и социальной подсистем располагается такой элемент социально-экономической системы, как региональный рынок жилой недвижимости, устойчивое функционирование которого </w:t>
      </w:r>
      <w:r w:rsidRPr="00A96E2C">
        <w:rPr>
          <w:rFonts w:ascii="Times New Roman" w:hAnsi="Times New Roman" w:cs="Times New Roman"/>
          <w:bCs/>
          <w:color w:val="000000" w:themeColor="text1"/>
        </w:rPr>
        <w:t>имеет ключевое значение при стратегическом социально-</w:t>
      </w:r>
      <w:r w:rsidRPr="00A96E2C">
        <w:rPr>
          <w:rFonts w:ascii="Times New Roman" w:hAnsi="Times New Roman" w:cs="Times New Roman"/>
          <w:bCs/>
          <w:color w:val="000000" w:themeColor="text1"/>
        </w:rPr>
        <w:lastRenderedPageBreak/>
        <w:t xml:space="preserve">экономическом развитии региона (рис. 2). </w:t>
      </w:r>
      <w:r w:rsidR="00A96E2C" w:rsidRPr="00A96E2C">
        <w:rPr>
          <w:rFonts w:ascii="Times New Roman" w:hAnsi="Times New Roman" w:cs="Times New Roman"/>
          <w:bCs/>
          <w:color w:val="000000" w:themeColor="text1"/>
        </w:rPr>
        <w:t xml:space="preserve">На основе выделенных подсистем возможно выявить акторов рынка жилья региона – </w:t>
      </w:r>
      <w:r w:rsidR="00A96E2C" w:rsidRPr="00A96E2C">
        <w:rPr>
          <w:rFonts w:ascii="Times New Roman" w:hAnsi="Times New Roman" w:cs="Times New Roman"/>
          <w:color w:val="000000" w:themeColor="text1"/>
        </w:rPr>
        <w:t>населени</w:t>
      </w:r>
      <w:r w:rsidR="00A96E2C">
        <w:rPr>
          <w:rFonts w:ascii="Times New Roman" w:hAnsi="Times New Roman" w:cs="Times New Roman"/>
          <w:color w:val="000000" w:themeColor="text1"/>
        </w:rPr>
        <w:t>е</w:t>
      </w:r>
      <w:r w:rsidR="00A96E2C" w:rsidRPr="00A96E2C">
        <w:rPr>
          <w:rFonts w:ascii="Times New Roman" w:hAnsi="Times New Roman" w:cs="Times New Roman"/>
          <w:color w:val="000000" w:themeColor="text1"/>
        </w:rPr>
        <w:t>, государств</w:t>
      </w:r>
      <w:r w:rsidR="00A96E2C">
        <w:rPr>
          <w:rFonts w:ascii="Times New Roman" w:hAnsi="Times New Roman" w:cs="Times New Roman"/>
          <w:color w:val="000000" w:themeColor="text1"/>
        </w:rPr>
        <w:t>о</w:t>
      </w:r>
      <w:r w:rsidR="00A96E2C" w:rsidRPr="00A96E2C">
        <w:rPr>
          <w:rFonts w:ascii="Times New Roman" w:hAnsi="Times New Roman" w:cs="Times New Roman"/>
          <w:color w:val="000000" w:themeColor="text1"/>
        </w:rPr>
        <w:t>, банковск</w:t>
      </w:r>
      <w:r w:rsidR="00A96E2C">
        <w:rPr>
          <w:rFonts w:ascii="Times New Roman" w:hAnsi="Times New Roman" w:cs="Times New Roman"/>
          <w:color w:val="000000" w:themeColor="text1"/>
        </w:rPr>
        <w:t>ий</w:t>
      </w:r>
      <w:r w:rsidR="00A96E2C" w:rsidRPr="00A96E2C">
        <w:rPr>
          <w:rFonts w:ascii="Times New Roman" w:hAnsi="Times New Roman" w:cs="Times New Roman"/>
          <w:color w:val="000000" w:themeColor="text1"/>
        </w:rPr>
        <w:t xml:space="preserve"> сектор и строительны</w:t>
      </w:r>
      <w:r w:rsidR="00A96E2C">
        <w:rPr>
          <w:rFonts w:ascii="Times New Roman" w:hAnsi="Times New Roman" w:cs="Times New Roman"/>
          <w:color w:val="000000" w:themeColor="text1"/>
        </w:rPr>
        <w:t>е</w:t>
      </w:r>
      <w:r w:rsidR="00A96E2C" w:rsidRPr="00A96E2C">
        <w:rPr>
          <w:rFonts w:ascii="Times New Roman" w:hAnsi="Times New Roman" w:cs="Times New Roman"/>
          <w:color w:val="000000" w:themeColor="text1"/>
        </w:rPr>
        <w:t xml:space="preserve"> предприяти</w:t>
      </w:r>
      <w:r w:rsidR="00A96E2C">
        <w:rPr>
          <w:rFonts w:ascii="Times New Roman" w:hAnsi="Times New Roman" w:cs="Times New Roman"/>
          <w:color w:val="000000" w:themeColor="text1"/>
        </w:rPr>
        <w:t>я.</w:t>
      </w:r>
    </w:p>
    <w:p w:rsidR="000B092F" w:rsidRPr="000B092F" w:rsidRDefault="000B092F" w:rsidP="000B092F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noProof/>
          <w:color w:val="000000" w:themeColor="text1"/>
        </w:rPr>
        <w:drawing>
          <wp:inline distT="0" distB="0" distL="0" distR="0" wp14:anchorId="389F99B6" wp14:editId="5DD89DF4">
            <wp:extent cx="5224875" cy="2898843"/>
            <wp:effectExtent l="0" t="0" r="0" b="0"/>
            <wp:docPr id="16957533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53376" name="Рисунок 16957533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47" cy="297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92F" w:rsidRPr="000B092F" w:rsidRDefault="000B092F" w:rsidP="0089670E">
      <w:pPr>
        <w:pStyle w:val="a"/>
        <w:numPr>
          <w:ilvl w:val="0"/>
          <w:numId w:val="0"/>
        </w:numPr>
        <w:spacing w:line="240" w:lineRule="auto"/>
        <w:ind w:left="170"/>
      </w:pPr>
      <w:r w:rsidRPr="000B092F">
        <w:t xml:space="preserve">Рисунок 2. </w:t>
      </w:r>
      <w:bookmarkStart w:id="2" w:name="_Ref148976752"/>
      <w:r w:rsidRPr="000B092F">
        <w:t>Подсистемы и элементы социально-экономической системы региона</w:t>
      </w:r>
      <w:bookmarkEnd w:id="2"/>
    </w:p>
    <w:p w:rsidR="000B092F" w:rsidRPr="000B092F" w:rsidRDefault="000B092F" w:rsidP="000B092F">
      <w:pPr>
        <w:jc w:val="center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0B092F">
        <w:rPr>
          <w:rFonts w:ascii="Times New Roman" w:hAnsi="Times New Roman" w:cs="Times New Roman"/>
          <w:bCs/>
          <w:i/>
          <w:iCs/>
          <w:color w:val="000000" w:themeColor="text1"/>
        </w:rPr>
        <w:t xml:space="preserve">Источник: составлено автором на основе трудов П.А. </w:t>
      </w:r>
      <w:proofErr w:type="spellStart"/>
      <w:r w:rsidRPr="000B092F">
        <w:rPr>
          <w:rFonts w:ascii="Times New Roman" w:hAnsi="Times New Roman" w:cs="Times New Roman"/>
          <w:bCs/>
          <w:i/>
          <w:iCs/>
          <w:color w:val="000000" w:themeColor="text1"/>
        </w:rPr>
        <w:t>Минакира</w:t>
      </w:r>
      <w:proofErr w:type="spellEnd"/>
    </w:p>
    <w:p w:rsidR="00225610" w:rsidRDefault="000B092F" w:rsidP="00225610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0B092F">
        <w:rPr>
          <w:rFonts w:ascii="Times New Roman" w:hAnsi="Times New Roman" w:cs="Times New Roman"/>
          <w:bCs/>
          <w:color w:val="000000" w:themeColor="text1"/>
        </w:rPr>
        <w:t xml:space="preserve">Таким образом, в исследовании предлагается изучение регионального рынка жилой недвижимости не просто, как рынка, ограниченного конкретной территорией, но как </w:t>
      </w:r>
      <w:r w:rsidRPr="000B092F">
        <w:rPr>
          <w:rFonts w:ascii="Times New Roman" w:hAnsi="Times New Roman" w:cs="Times New Roman"/>
          <w:bCs/>
          <w:i/>
          <w:iCs/>
          <w:color w:val="000000" w:themeColor="text1"/>
        </w:rPr>
        <w:t>элемента подсистем социально-экономической системы региона</w:t>
      </w:r>
      <w:r w:rsidRPr="000B092F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6C0A98">
        <w:rPr>
          <w:rFonts w:ascii="Times New Roman" w:hAnsi="Times New Roman" w:cs="Times New Roman"/>
          <w:bCs/>
          <w:color w:val="000000" w:themeColor="text1"/>
        </w:rPr>
        <w:t xml:space="preserve">с целью </w:t>
      </w:r>
      <w:r w:rsidR="003A3C12">
        <w:rPr>
          <w:rFonts w:ascii="Times New Roman" w:hAnsi="Times New Roman" w:cs="Times New Roman"/>
          <w:bCs/>
          <w:color w:val="000000" w:themeColor="text1"/>
        </w:rPr>
        <w:t xml:space="preserve">повышения эффективности стратегирования </w:t>
      </w:r>
      <w:r w:rsidR="00A96E2C">
        <w:rPr>
          <w:rFonts w:ascii="Times New Roman" w:hAnsi="Times New Roman" w:cs="Times New Roman"/>
          <w:bCs/>
          <w:color w:val="000000" w:themeColor="text1"/>
        </w:rPr>
        <w:t>посредством</w:t>
      </w:r>
      <w:r w:rsidR="003A3C12">
        <w:rPr>
          <w:rFonts w:ascii="Times New Roman" w:hAnsi="Times New Roman" w:cs="Times New Roman"/>
          <w:bCs/>
          <w:color w:val="000000" w:themeColor="text1"/>
        </w:rPr>
        <w:t xml:space="preserve"> согласовани</w:t>
      </w:r>
      <w:r w:rsidR="00A96E2C">
        <w:rPr>
          <w:rFonts w:ascii="Times New Roman" w:hAnsi="Times New Roman" w:cs="Times New Roman"/>
          <w:bCs/>
          <w:color w:val="000000" w:themeColor="text1"/>
        </w:rPr>
        <w:t>я</w:t>
      </w:r>
      <w:r w:rsidR="003A3C12">
        <w:rPr>
          <w:rFonts w:ascii="Times New Roman" w:hAnsi="Times New Roman" w:cs="Times New Roman"/>
          <w:bCs/>
          <w:color w:val="000000" w:themeColor="text1"/>
        </w:rPr>
        <w:t xml:space="preserve"> интересов выявленных </w:t>
      </w:r>
      <w:r w:rsidR="006C0A98">
        <w:rPr>
          <w:rFonts w:ascii="Times New Roman" w:hAnsi="Times New Roman" w:cs="Times New Roman"/>
          <w:bCs/>
          <w:color w:val="000000" w:themeColor="text1"/>
        </w:rPr>
        <w:t xml:space="preserve">акторов исследуемой сферы. </w:t>
      </w:r>
    </w:p>
    <w:p w:rsidR="00225610" w:rsidRPr="002B3D54" w:rsidRDefault="00225610" w:rsidP="00A96E2C">
      <w:pPr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B092F" w:rsidRPr="000B092F" w:rsidRDefault="000B092F" w:rsidP="000B092F">
      <w:pPr>
        <w:jc w:val="center"/>
        <w:rPr>
          <w:rFonts w:ascii="Times New Roman" w:hAnsi="Times New Roman" w:cs="Times New Roman"/>
          <w:b/>
        </w:rPr>
      </w:pPr>
      <w:r w:rsidRPr="000B092F">
        <w:rPr>
          <w:rFonts w:ascii="Times New Roman" w:hAnsi="Times New Roman" w:cs="Times New Roman"/>
          <w:b/>
        </w:rPr>
        <w:t>Литература</w:t>
      </w:r>
    </w:p>
    <w:p w:rsidR="002B3D54" w:rsidRDefault="002B3D54" w:rsidP="002B3D54">
      <w:pPr>
        <w:pStyle w:val="a4"/>
        <w:numPr>
          <w:ilvl w:val="0"/>
          <w:numId w:val="4"/>
        </w:numPr>
        <w:spacing w:before="0" w:beforeAutospacing="0" w:after="0" w:afterAutospacing="0"/>
        <w:ind w:left="284"/>
        <w:jc w:val="both"/>
      </w:pPr>
      <w:proofErr w:type="spellStart"/>
      <w:r w:rsidRPr="002B3D54">
        <w:t>Гамидуллаева</w:t>
      </w:r>
      <w:proofErr w:type="spellEnd"/>
      <w:r w:rsidRPr="002B3D54">
        <w:t xml:space="preserve"> Л. А., Грошева Е. С., </w:t>
      </w:r>
      <w:proofErr w:type="spellStart"/>
      <w:r w:rsidRPr="002B3D54">
        <w:t>Белоградова</w:t>
      </w:r>
      <w:proofErr w:type="spellEnd"/>
      <w:r w:rsidRPr="002B3D54">
        <w:t xml:space="preserve"> О. А., Шевченко Д. Н. Сбалансированное развитие территории: подходы к определению и оценке // Модели, системы, сети в экономике, технике, природе и обществе. 2022. </w:t>
      </w:r>
      <w:r w:rsidRPr="002B3D54">
        <w:rPr>
          <w:lang w:val="en-US"/>
        </w:rPr>
        <w:t>No</w:t>
      </w:r>
      <w:r w:rsidRPr="002B3D54">
        <w:t xml:space="preserve"> 3. С. 25. </w:t>
      </w:r>
      <w:proofErr w:type="spellStart"/>
      <w:r w:rsidRPr="002B3D54">
        <w:rPr>
          <w:lang w:val="en-US"/>
        </w:rPr>
        <w:t>doi</w:t>
      </w:r>
      <w:proofErr w:type="spellEnd"/>
      <w:r w:rsidRPr="002B3D54">
        <w:t xml:space="preserve">:10.21685/2227-8486-2022-3-2 </w:t>
      </w:r>
    </w:p>
    <w:p w:rsidR="002B3D54" w:rsidRDefault="002B3D54" w:rsidP="002B3D54">
      <w:pPr>
        <w:pStyle w:val="a4"/>
        <w:numPr>
          <w:ilvl w:val="0"/>
          <w:numId w:val="4"/>
        </w:numPr>
        <w:spacing w:before="0" w:beforeAutospacing="0" w:after="0" w:afterAutospacing="0"/>
        <w:ind w:left="284"/>
        <w:jc w:val="both"/>
      </w:pPr>
      <w:proofErr w:type="spellStart"/>
      <w:r w:rsidRPr="000B092F">
        <w:t>Гранберг</w:t>
      </w:r>
      <w:proofErr w:type="spellEnd"/>
      <w:r w:rsidRPr="000B092F">
        <w:t xml:space="preserve"> А. Г. Основы региональной экономики: учебник для вузов. М.: ГУ ВШЭ, 2004. С. 98 </w:t>
      </w:r>
    </w:p>
    <w:p w:rsidR="002B3D54" w:rsidRPr="00082471" w:rsidRDefault="002B3D54" w:rsidP="002B3D54">
      <w:pPr>
        <w:pStyle w:val="a4"/>
        <w:numPr>
          <w:ilvl w:val="0"/>
          <w:numId w:val="4"/>
        </w:numPr>
        <w:spacing w:before="0" w:beforeAutospacing="0" w:after="0" w:afterAutospacing="0"/>
        <w:ind w:left="284"/>
        <w:jc w:val="both"/>
      </w:pPr>
      <w:r w:rsidRPr="002B3D54">
        <w:rPr>
          <w:color w:val="000000" w:themeColor="text1"/>
          <w:shd w:val="clear" w:color="auto" w:fill="FFFFFF"/>
        </w:rPr>
        <w:t>Карпов А. А. Системно-факторный подход к региону в оценках уровня его социально-экономического развития// Региональная экономика и управление: электронный научный журнал. — </w:t>
      </w:r>
      <w:hyperlink r:id="rId9" w:history="1">
        <w:r w:rsidRPr="002B3D54">
          <w:rPr>
            <w:color w:val="000000" w:themeColor="text1"/>
            <w:shd w:val="clear" w:color="auto" w:fill="FFFFFF"/>
          </w:rPr>
          <w:t>№1 (73)</w:t>
        </w:r>
      </w:hyperlink>
    </w:p>
    <w:p w:rsidR="00082471" w:rsidRPr="00082471" w:rsidRDefault="00082471" w:rsidP="00082471">
      <w:pPr>
        <w:numPr>
          <w:ilvl w:val="0"/>
          <w:numId w:val="4"/>
        </w:numPr>
        <w:ind w:left="284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13AB7">
        <w:rPr>
          <w:rFonts w:ascii="Times New Roman" w:eastAsia="Times New Roman" w:hAnsi="Times New Roman"/>
          <w:color w:val="000000"/>
          <w:lang w:eastAsia="ru-RU"/>
        </w:rPr>
        <w:t>Квинт</w:t>
      </w:r>
      <w:r w:rsidRPr="00023E4B">
        <w:rPr>
          <w:rFonts w:ascii="Times New Roman" w:eastAsia="Times New Roman" w:hAnsi="Times New Roman"/>
          <w:color w:val="000000"/>
          <w:lang w:val="en-US" w:eastAsia="ru-RU"/>
        </w:rPr>
        <w:t> </w:t>
      </w:r>
      <w:r w:rsidRPr="00013AB7">
        <w:rPr>
          <w:rFonts w:ascii="Times New Roman" w:eastAsia="Times New Roman" w:hAnsi="Times New Roman"/>
          <w:color w:val="000000"/>
          <w:lang w:eastAsia="ru-RU"/>
        </w:rPr>
        <w:t>В.Л. Концепция стратегирования. Т.</w:t>
      </w:r>
      <w:r w:rsidRPr="00023E4B">
        <w:rPr>
          <w:rFonts w:ascii="Times New Roman" w:eastAsia="Times New Roman" w:hAnsi="Times New Roman"/>
          <w:color w:val="000000"/>
          <w:lang w:val="en-US" w:eastAsia="ru-RU"/>
        </w:rPr>
        <w:t>I</w:t>
      </w:r>
      <w:r w:rsidRPr="00013AB7">
        <w:rPr>
          <w:rFonts w:ascii="Times New Roman" w:eastAsia="Times New Roman" w:hAnsi="Times New Roman"/>
          <w:color w:val="000000"/>
          <w:lang w:eastAsia="ru-RU"/>
        </w:rPr>
        <w:t>. – СПб.: СЗИУ РАНХиГС, 2022. – 132 с.: ил. – (Библиотека стратега).</w:t>
      </w:r>
    </w:p>
    <w:p w:rsidR="002B3D54" w:rsidRPr="002B3D54" w:rsidRDefault="002B3D54" w:rsidP="002B3D54">
      <w:pPr>
        <w:pStyle w:val="a8"/>
        <w:numPr>
          <w:ilvl w:val="0"/>
          <w:numId w:val="4"/>
        </w:numPr>
        <w:ind w:left="284"/>
        <w:jc w:val="both"/>
        <w:rPr>
          <w:color w:val="000000" w:themeColor="text1"/>
          <w:sz w:val="24"/>
          <w:szCs w:val="24"/>
        </w:rPr>
      </w:pPr>
      <w:r w:rsidRPr="002B3D54">
        <w:rPr>
          <w:color w:val="000000" w:themeColor="text1"/>
          <w:sz w:val="24"/>
          <w:szCs w:val="24"/>
        </w:rPr>
        <w:t>Любарская М.А., Глазков К.В. Значение региональных рынков недвижимости для современной экономики // Экономический вектор. 2023. №2 (33).</w:t>
      </w:r>
      <w:r w:rsidRPr="002B3D54">
        <w:rPr>
          <w:rStyle w:val="apple-converted-space"/>
          <w:color w:val="000000" w:themeColor="text1"/>
          <w:sz w:val="24"/>
          <w:szCs w:val="24"/>
          <w:lang w:val="en-US"/>
        </w:rPr>
        <w:t> </w:t>
      </w:r>
      <w:r w:rsidRPr="002B3D54">
        <w:rPr>
          <w:rStyle w:val="apple-converted-space"/>
          <w:color w:val="000000" w:themeColor="text1"/>
          <w:sz w:val="24"/>
          <w:szCs w:val="24"/>
        </w:rPr>
        <w:t>С.46.</w:t>
      </w:r>
    </w:p>
    <w:p w:rsidR="002B3D54" w:rsidRPr="002B3D54" w:rsidRDefault="002B3D54" w:rsidP="002B3D54">
      <w:pPr>
        <w:pStyle w:val="a4"/>
        <w:numPr>
          <w:ilvl w:val="0"/>
          <w:numId w:val="4"/>
        </w:numPr>
        <w:spacing w:before="0" w:beforeAutospacing="0" w:after="0" w:afterAutospacing="0"/>
        <w:ind w:left="284"/>
        <w:jc w:val="both"/>
      </w:pPr>
      <w:proofErr w:type="spellStart"/>
      <w:r w:rsidRPr="000B092F">
        <w:rPr>
          <w:color w:val="000000" w:themeColor="text1"/>
          <w:shd w:val="clear" w:color="auto" w:fill="FFFFFF"/>
        </w:rPr>
        <w:t>Минакир</w:t>
      </w:r>
      <w:proofErr w:type="spellEnd"/>
      <w:r w:rsidRPr="000B092F">
        <w:rPr>
          <w:color w:val="000000" w:themeColor="text1"/>
          <w:shd w:val="clear" w:color="auto" w:fill="FFFFFF"/>
        </w:rPr>
        <w:t xml:space="preserve">, П.А. Экономическое развитие региона: программный подход / отв. ред. А.Г. </w:t>
      </w:r>
      <w:proofErr w:type="spellStart"/>
      <w:r w:rsidRPr="000B092F">
        <w:rPr>
          <w:color w:val="000000" w:themeColor="text1"/>
          <w:shd w:val="clear" w:color="auto" w:fill="FFFFFF"/>
        </w:rPr>
        <w:t>Зельднер</w:t>
      </w:r>
      <w:proofErr w:type="spellEnd"/>
      <w:r w:rsidRPr="000B092F">
        <w:rPr>
          <w:color w:val="000000" w:themeColor="text1"/>
          <w:shd w:val="clear" w:color="auto" w:fill="FFFFFF"/>
        </w:rPr>
        <w:t xml:space="preserve">, Н.И. </w:t>
      </w:r>
      <w:proofErr w:type="gramStart"/>
      <w:r w:rsidRPr="000B092F">
        <w:rPr>
          <w:color w:val="000000" w:themeColor="text1"/>
          <w:shd w:val="clear" w:color="auto" w:fill="FFFFFF"/>
        </w:rPr>
        <w:t>Цветков ;</w:t>
      </w:r>
      <w:proofErr w:type="gramEnd"/>
      <w:r w:rsidRPr="000B092F">
        <w:rPr>
          <w:color w:val="000000" w:themeColor="text1"/>
          <w:shd w:val="clear" w:color="auto" w:fill="FFFFFF"/>
        </w:rPr>
        <w:t xml:space="preserve"> Институт экономических исследований ДВНЦ АН СССР. – М.: Изд-во «</w:t>
      </w:r>
      <w:r w:rsidRPr="002B3D54">
        <w:rPr>
          <w:color w:val="000000" w:themeColor="text1"/>
          <w:shd w:val="clear" w:color="auto" w:fill="FFFFFF"/>
        </w:rPr>
        <w:t>Наука», 1983. – 224 с</w:t>
      </w:r>
    </w:p>
    <w:p w:rsidR="002B3D54" w:rsidRDefault="002B3D54" w:rsidP="002B3D54">
      <w:pPr>
        <w:pStyle w:val="a4"/>
        <w:numPr>
          <w:ilvl w:val="0"/>
          <w:numId w:val="4"/>
        </w:numPr>
        <w:spacing w:before="0" w:beforeAutospacing="0" w:after="0" w:afterAutospacing="0"/>
        <w:ind w:left="284"/>
        <w:jc w:val="both"/>
      </w:pPr>
      <w:proofErr w:type="spellStart"/>
      <w:r w:rsidRPr="002B3D54">
        <w:t>Мясков</w:t>
      </w:r>
      <w:proofErr w:type="spellEnd"/>
      <w:r w:rsidRPr="002B3D54">
        <w:t xml:space="preserve">, А.В. Использование особо охраняемых природных территорий для мониторинга негативного </w:t>
      </w:r>
      <w:proofErr w:type="spellStart"/>
      <w:r w:rsidRPr="002B3D54">
        <w:t>воздействия</w:t>
      </w:r>
      <w:proofErr w:type="spellEnd"/>
      <w:r w:rsidRPr="002B3D54">
        <w:t xml:space="preserve"> промышленных предприятий на естественные экосистемы / А.В. </w:t>
      </w:r>
      <w:proofErr w:type="spellStart"/>
      <w:r w:rsidRPr="002B3D54">
        <w:t>Мясков</w:t>
      </w:r>
      <w:proofErr w:type="spellEnd"/>
      <w:r w:rsidRPr="002B3D54">
        <w:t xml:space="preserve">, В.С. </w:t>
      </w:r>
      <w:proofErr w:type="spellStart"/>
      <w:r w:rsidRPr="002B3D54">
        <w:t>Зайцев</w:t>
      </w:r>
      <w:proofErr w:type="spellEnd"/>
      <w:r w:rsidRPr="002B3D54">
        <w:t xml:space="preserve">, В.С. Шмелев // </w:t>
      </w:r>
      <w:proofErr w:type="spellStart"/>
      <w:r w:rsidRPr="002B3D54">
        <w:t>Горныи</w:t>
      </w:r>
      <w:proofErr w:type="spellEnd"/>
      <w:r w:rsidRPr="002B3D54">
        <w:t>̆ информационно-</w:t>
      </w:r>
      <w:proofErr w:type="spellStart"/>
      <w:r w:rsidRPr="002B3D54">
        <w:t>аналитическии</w:t>
      </w:r>
      <w:proofErr w:type="spellEnd"/>
      <w:r w:rsidRPr="002B3D54">
        <w:t>̆ бюллетень (научно-</w:t>
      </w:r>
      <w:proofErr w:type="spellStart"/>
      <w:r w:rsidRPr="002B3D54">
        <w:t>техническии</w:t>
      </w:r>
      <w:proofErr w:type="spellEnd"/>
      <w:r w:rsidRPr="002B3D54">
        <w:t>̆ журнал). – 2019. – No S10. – С. 3–19. – DOI 10.25018/0236–1493– 2019–5–10–3–19.</w:t>
      </w:r>
    </w:p>
    <w:p w:rsidR="002B3D54" w:rsidRPr="00A96E2C" w:rsidRDefault="000B092F" w:rsidP="00A96E2C">
      <w:pPr>
        <w:pStyle w:val="a4"/>
        <w:numPr>
          <w:ilvl w:val="0"/>
          <w:numId w:val="4"/>
        </w:numPr>
        <w:spacing w:before="0" w:beforeAutospacing="0" w:after="0" w:afterAutospacing="0"/>
        <w:ind w:left="284"/>
        <w:jc w:val="both"/>
        <w:rPr>
          <w:color w:val="000000" w:themeColor="text1"/>
        </w:rPr>
      </w:pPr>
      <w:proofErr w:type="spellStart"/>
      <w:r w:rsidRPr="000B092F">
        <w:t>Перру</w:t>
      </w:r>
      <w:proofErr w:type="spellEnd"/>
      <w:r w:rsidRPr="000B092F">
        <w:t xml:space="preserve"> Ф. Экономическое пространство: теория и приложения // Пространственная экономика. 2007. No 2. С. 77– 93. </w:t>
      </w:r>
    </w:p>
    <w:sectPr w:rsidR="002B3D54" w:rsidRPr="00A96E2C" w:rsidSect="002B3D54">
      <w:pgSz w:w="11906" w:h="16838"/>
      <w:pgMar w:top="1134" w:right="850" w:bottom="8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3101" w:rsidRDefault="00D43101" w:rsidP="000B092F">
      <w:r>
        <w:separator/>
      </w:r>
    </w:p>
  </w:endnote>
  <w:endnote w:type="continuationSeparator" w:id="0">
    <w:p w:rsidR="00D43101" w:rsidRDefault="00D43101" w:rsidP="000B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3101" w:rsidRDefault="00D43101" w:rsidP="000B092F">
      <w:r>
        <w:separator/>
      </w:r>
    </w:p>
  </w:footnote>
  <w:footnote w:type="continuationSeparator" w:id="0">
    <w:p w:rsidR="00D43101" w:rsidRDefault="00D43101" w:rsidP="000B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E23"/>
    <w:multiLevelType w:val="hybridMultilevel"/>
    <w:tmpl w:val="5BC87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21AC8"/>
    <w:multiLevelType w:val="hybridMultilevel"/>
    <w:tmpl w:val="33D01758"/>
    <w:lvl w:ilvl="0" w:tplc="CF801640">
      <w:start w:val="1"/>
      <w:numFmt w:val="decimal"/>
      <w:pStyle w:val="a"/>
      <w:lvlText w:val="Рисунок %1."/>
      <w:lvlJc w:val="center"/>
      <w:pPr>
        <w:ind w:left="170" w:hanging="170"/>
      </w:pPr>
      <w:rPr>
        <w:rFonts w:ascii="Times New Roman" w:hAnsi="Times New Roman" w:hint="default"/>
        <w:b w:val="0"/>
        <w:bCs/>
        <w:i w:val="0"/>
        <w:iCs/>
        <w:sz w:val="20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976C2"/>
    <w:multiLevelType w:val="hybridMultilevel"/>
    <w:tmpl w:val="3B6AD7D4"/>
    <w:lvl w:ilvl="0" w:tplc="3252E9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436"/>
    <w:multiLevelType w:val="hybridMultilevel"/>
    <w:tmpl w:val="5D8AD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F3C6C"/>
    <w:multiLevelType w:val="hybridMultilevel"/>
    <w:tmpl w:val="F7E6CC4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4305">
    <w:abstractNumId w:val="0"/>
  </w:num>
  <w:num w:numId="2" w16cid:durableId="384988402">
    <w:abstractNumId w:val="1"/>
  </w:num>
  <w:num w:numId="3" w16cid:durableId="1033923774">
    <w:abstractNumId w:val="4"/>
  </w:num>
  <w:num w:numId="4" w16cid:durableId="2064912318">
    <w:abstractNumId w:val="2"/>
  </w:num>
  <w:num w:numId="5" w16cid:durableId="197652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2F"/>
    <w:rsid w:val="00082471"/>
    <w:rsid w:val="000B092F"/>
    <w:rsid w:val="001C0BCD"/>
    <w:rsid w:val="00225610"/>
    <w:rsid w:val="002B3D54"/>
    <w:rsid w:val="002B5478"/>
    <w:rsid w:val="003A3C12"/>
    <w:rsid w:val="006C0A98"/>
    <w:rsid w:val="0085400C"/>
    <w:rsid w:val="0089670E"/>
    <w:rsid w:val="00A96E2C"/>
    <w:rsid w:val="00C32A70"/>
    <w:rsid w:val="00C92579"/>
    <w:rsid w:val="00CA6320"/>
    <w:rsid w:val="00D43101"/>
    <w:rsid w:val="00D7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F1C1A"/>
  <w15:chartTrackingRefBased/>
  <w15:docId w15:val="{0A658E27-4E3A-5142-BCFA-7129C208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0B092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Emphasis"/>
    <w:uiPriority w:val="20"/>
    <w:qFormat/>
    <w:rsid w:val="000B092F"/>
    <w:rPr>
      <w:i/>
      <w:iCs/>
    </w:rPr>
  </w:style>
  <w:style w:type="character" w:styleId="a6">
    <w:name w:val="Hyperlink"/>
    <w:basedOn w:val="a1"/>
    <w:uiPriority w:val="99"/>
    <w:unhideWhenUsed/>
    <w:rsid w:val="000B092F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0B092F"/>
    <w:rPr>
      <w:color w:val="605E5C"/>
      <w:shd w:val="clear" w:color="auto" w:fill="E1DFDD"/>
    </w:rPr>
  </w:style>
  <w:style w:type="paragraph" w:styleId="a8">
    <w:name w:val="footnote text"/>
    <w:basedOn w:val="a0"/>
    <w:link w:val="a9"/>
    <w:uiPriority w:val="99"/>
    <w:unhideWhenUsed/>
    <w:rsid w:val="000B092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basedOn w:val="a1"/>
    <w:link w:val="a8"/>
    <w:uiPriority w:val="99"/>
    <w:rsid w:val="000B092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basedOn w:val="a1"/>
    <w:uiPriority w:val="99"/>
    <w:semiHidden/>
    <w:unhideWhenUsed/>
    <w:rsid w:val="000B092F"/>
    <w:rPr>
      <w:vertAlign w:val="superscript"/>
    </w:rPr>
  </w:style>
  <w:style w:type="character" w:customStyle="1" w:styleId="ab">
    <w:name w:val="ННкурсивЗнак"/>
    <w:basedOn w:val="a1"/>
    <w:qFormat/>
    <w:rsid w:val="000B092F"/>
    <w:rPr>
      <w:i/>
      <w:iCs/>
      <w:color w:val="C45911" w:themeColor="accent2" w:themeShade="BF"/>
    </w:rPr>
  </w:style>
  <w:style w:type="paragraph" w:customStyle="1" w:styleId="a">
    <w:name w:val="Нумерация рисунка"/>
    <w:basedOn w:val="ac"/>
    <w:next w:val="ac"/>
    <w:link w:val="ad"/>
    <w:qFormat/>
    <w:rsid w:val="000B092F"/>
    <w:pPr>
      <w:numPr>
        <w:numId w:val="2"/>
      </w:numPr>
      <w:tabs>
        <w:tab w:val="left" w:pos="709"/>
      </w:tabs>
      <w:spacing w:line="360" w:lineRule="auto"/>
      <w:jc w:val="center"/>
    </w:pPr>
    <w:rPr>
      <w:rFonts w:ascii="Times New Roman" w:hAnsi="Times New Roman"/>
      <w:color w:val="000000" w:themeColor="text1"/>
      <w:kern w:val="0"/>
      <w14:ligatures w14:val="none"/>
    </w:rPr>
  </w:style>
  <w:style w:type="character" w:customStyle="1" w:styleId="ad">
    <w:name w:val="Нумерация рисунка Знак"/>
    <w:basedOn w:val="a1"/>
    <w:link w:val="a"/>
    <w:rsid w:val="000B092F"/>
    <w:rPr>
      <w:rFonts w:ascii="Times New Roman" w:hAnsi="Times New Roman"/>
      <w:color w:val="000000" w:themeColor="text1"/>
      <w:kern w:val="0"/>
      <w14:ligatures w14:val="none"/>
    </w:rPr>
  </w:style>
  <w:style w:type="paragraph" w:styleId="ac">
    <w:name w:val="table of figures"/>
    <w:basedOn w:val="a0"/>
    <w:next w:val="a0"/>
    <w:uiPriority w:val="99"/>
    <w:semiHidden/>
    <w:unhideWhenUsed/>
    <w:rsid w:val="000B092F"/>
  </w:style>
  <w:style w:type="paragraph" w:styleId="ae">
    <w:name w:val="List Paragraph"/>
    <w:aliases w:val="Заголовок_3,Bullet_IRAO,Мой Список,AC List 01,Подпись рисунка,Table-Normal,RSHB_Table-Normal,List Paragraph1,SL_Абзац списка,Нумерация,Bullet List,FooterText,numbered,Абзац списка (1 уровень),UL,Title,Title1,1,Абзац маркированнный,ПАРАГРАФ"/>
    <w:basedOn w:val="a0"/>
    <w:link w:val="af"/>
    <w:uiPriority w:val="34"/>
    <w:qFormat/>
    <w:rsid w:val="000B092F"/>
    <w:pPr>
      <w:ind w:left="720"/>
      <w:contextualSpacing/>
    </w:pPr>
    <w:rPr>
      <w:kern w:val="0"/>
      <w14:ligatures w14:val="none"/>
    </w:rPr>
  </w:style>
  <w:style w:type="character" w:customStyle="1" w:styleId="af">
    <w:name w:val="Абзац списка Знак"/>
    <w:aliases w:val="Заголовок_3 Знак,Bullet_IRAO Знак,Мой Список Знак,AC List 01 Знак,Подпись рисунка Знак,Table-Normal Знак,RSHB_Table-Normal Знак,List Paragraph1 Знак,SL_Абзац списка Знак,Нумерация Знак,Bullet List Знак,FooterText Знак,numbered Знак"/>
    <w:basedOn w:val="a1"/>
    <w:link w:val="ae"/>
    <w:uiPriority w:val="34"/>
    <w:rsid w:val="000B092F"/>
    <w:rPr>
      <w:kern w:val="0"/>
      <w14:ligatures w14:val="none"/>
    </w:rPr>
  </w:style>
  <w:style w:type="character" w:customStyle="1" w:styleId="apple-converted-space">
    <w:name w:val="apple-converted-space"/>
    <w:basedOn w:val="a1"/>
    <w:rsid w:val="000B0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etrova.p@campus.mse-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ee-region.ru/number-jour/2023-7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2024-02-14T11:04:00Z</dcterms:created>
  <dcterms:modified xsi:type="dcterms:W3CDTF">2024-02-15T13:59:00Z</dcterms:modified>
</cp:coreProperties>
</file>