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1"/>
        <w:jc w:val="right"/>
        <w:rPr>
          <w:rFonts w:hint="default" w:ascii="Times New Roman" w:hAnsi="Times New Roman" w:eastAsia="宋体" w:cs="Times New Roman"/>
          <w:lang w:val="ru-RU" w:eastAsia="zh-CN"/>
        </w:rPr>
      </w:pPr>
      <w:r>
        <w:rPr>
          <w:rFonts w:hint="default" w:ascii="Times New Roman" w:hAnsi="Times New Roman" w:cs="Times New Roman"/>
          <w:spacing w:val="-2"/>
          <w:w w:val="105"/>
        </w:rPr>
        <w:t>Секция</w:t>
      </w:r>
      <w:r>
        <w:rPr>
          <w:rFonts w:hint="default" w:ascii="Times New Roman" w:hAnsi="Times New Roman" w:cs="Times New Roman"/>
          <w:spacing w:val="8"/>
          <w:w w:val="105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</w:rPr>
        <w:t>«</w:t>
      </w:r>
      <w:r>
        <w:rPr>
          <w:rFonts w:hint="default" w:ascii="Times New Roman" w:hAnsi="Times New Roman" w:eastAsia="宋体" w:cs="Times New Roman"/>
          <w:spacing w:val="-2"/>
          <w:w w:val="105"/>
          <w:lang w:val="en-US" w:eastAsia="zh-CN"/>
        </w:rPr>
        <w:t>Экономическое развитие и политические системы»</w:t>
      </w:r>
    </w:p>
    <w:p>
      <w:pPr>
        <w:pStyle w:val="2"/>
        <w:spacing w:line="510" w:lineRule="atLeast"/>
        <w:ind w:right="812"/>
        <w:jc w:val="center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  <w:lang w:val="ru-RU"/>
        </w:rPr>
        <w:t xml:space="preserve">        </w:t>
      </w:r>
      <w:r>
        <w:rPr>
          <w:rFonts w:hint="default" w:ascii="Times New Roman" w:hAnsi="Times New Roman" w:cs="Times New Roman"/>
          <w:w w:val="105"/>
        </w:rPr>
        <w:t>Роль политической системы общества в развитии экономической сферы</w:t>
      </w:r>
    </w:p>
    <w:p>
      <w:pPr>
        <w:spacing w:before="121"/>
        <w:ind w:left="804" w:right="831" w:firstLine="0"/>
        <w:jc w:val="center"/>
        <w:rPr>
          <w:rFonts w:hint="default" w:ascii="Times New Roman" w:hAnsi="Times New Roman" w:cs="Times New Roman"/>
          <w:b/>
          <w:bCs/>
          <w:w w:val="105"/>
          <w:sz w:val="24"/>
          <w:szCs w:val="24"/>
        </w:rPr>
      </w:pPr>
    </w:p>
    <w:p>
      <w:pPr>
        <w:spacing w:before="121"/>
        <w:ind w:left="804" w:right="831" w:firstLine="0"/>
        <w:jc w:val="center"/>
        <w:rPr>
          <w:rFonts w:hint="default"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w w:val="105"/>
          <w:sz w:val="24"/>
          <w:szCs w:val="24"/>
        </w:rPr>
        <w:t>Научный</w:t>
      </w:r>
      <w:r>
        <w:rPr>
          <w:rFonts w:hint="default" w:ascii="Times New Roman" w:hAnsi="Times New Roman" w:cs="Times New Roman"/>
          <w:b/>
          <w:bCs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w w:val="105"/>
          <w:sz w:val="24"/>
          <w:szCs w:val="24"/>
        </w:rPr>
        <w:t>руководитель</w:t>
      </w:r>
      <w:r>
        <w:rPr>
          <w:rFonts w:hint="default" w:ascii="Times New Roman" w:hAnsi="Times New Roman" w:cs="Times New Roman"/>
          <w:b/>
          <w:bCs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w w:val="105"/>
          <w:sz w:val="24"/>
          <w:szCs w:val="24"/>
        </w:rPr>
        <w:t>–</w:t>
      </w:r>
      <w:r>
        <w:rPr>
          <w:rFonts w:hint="default" w:ascii="Times New Roman" w:hAnsi="Times New Roman" w:cs="Times New Roman"/>
          <w:b/>
          <w:bCs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w w:val="105"/>
          <w:sz w:val="24"/>
          <w:szCs w:val="24"/>
        </w:rPr>
        <w:t>Балашова Светлана Алексеевна</w:t>
      </w:r>
    </w:p>
    <w:p>
      <w:pPr>
        <w:spacing w:before="14"/>
        <w:ind w:left="804" w:right="817" w:firstLine="0"/>
        <w:jc w:val="center"/>
        <w:rPr>
          <w:rFonts w:hint="default" w:cs="Times New Roman"/>
          <w:i/>
          <w:w w:val="105"/>
          <w:sz w:val="24"/>
          <w:lang w:val="ru-RU"/>
        </w:rPr>
      </w:pPr>
    </w:p>
    <w:p>
      <w:pPr>
        <w:spacing w:before="14"/>
        <w:ind w:left="804" w:right="817" w:firstLine="0"/>
        <w:jc w:val="center"/>
        <w:rPr>
          <w:rFonts w:hint="default" w:ascii="Times New Roman" w:hAnsi="Times New Roman" w:cs="Times New Roman"/>
          <w:b/>
          <w:bCs/>
          <w:i/>
          <w:w w:val="105"/>
          <w:sz w:val="24"/>
          <w:lang w:val="ru-RU"/>
        </w:rPr>
      </w:pPr>
      <w:r>
        <w:rPr>
          <w:rFonts w:hint="default" w:cs="Times New Roman"/>
          <w:b/>
          <w:bCs/>
          <w:i/>
          <w:w w:val="105"/>
          <w:sz w:val="24"/>
          <w:lang w:val="ru-RU"/>
        </w:rPr>
        <w:t>Ма Инкай</w:t>
      </w:r>
    </w:p>
    <w:p>
      <w:pPr>
        <w:spacing w:before="14"/>
        <w:ind w:left="804" w:right="817" w:firstLine="0"/>
        <w:jc w:val="center"/>
        <w:rPr>
          <w:rFonts w:hint="default" w:ascii="Times New Roman" w:hAnsi="Times New Roman" w:cs="Times New Roman"/>
          <w:i/>
          <w:sz w:val="24"/>
        </w:rPr>
      </w:pPr>
      <w:r>
        <w:rPr>
          <w:rFonts w:hint="default" w:cs="Times New Roman"/>
          <w:i/>
          <w:spacing w:val="-2"/>
          <w:w w:val="105"/>
          <w:sz w:val="24"/>
          <w:lang w:val="ru-RU"/>
        </w:rPr>
        <w:t>А</w:t>
      </w:r>
      <w:r>
        <w:rPr>
          <w:rFonts w:hint="default" w:ascii="Times New Roman" w:hAnsi="Times New Roman" w:cs="Times New Roman"/>
          <w:i/>
          <w:spacing w:val="-2"/>
          <w:w w:val="105"/>
          <w:sz w:val="24"/>
        </w:rPr>
        <w:t>спирант</w:t>
      </w:r>
    </w:p>
    <w:p>
      <w:pPr>
        <w:pStyle w:val="3"/>
        <w:spacing w:before="13" w:line="252" w:lineRule="auto"/>
        <w:ind w:left="0" w:right="6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Российский университет дружбы народов, Экономический факультет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w w:val="105"/>
        </w:rPr>
        <w:t xml:space="preserve">, Кафедра </w:t>
      </w:r>
      <w:r>
        <w:rPr>
          <w:rFonts w:hint="default" w:ascii="Times New Roman" w:hAnsi="Times New Roman" w:cs="Times New Roman"/>
          <w:w w:val="105"/>
          <w:lang w:val="ru-RU"/>
        </w:rPr>
        <w:t>экономико-математического моделирования</w:t>
      </w:r>
      <w:r>
        <w:rPr>
          <w:rFonts w:hint="default" w:ascii="Times New Roman" w:hAnsi="Times New Roman" w:cs="Times New Roman"/>
          <w:w w:val="105"/>
        </w:rPr>
        <w:t>, Москва, Россия</w:t>
      </w:r>
    </w:p>
    <w:p>
      <w:pPr>
        <w:spacing w:before="0" w:line="274" w:lineRule="exact"/>
        <w:ind w:left="804" w:right="826" w:firstLine="0"/>
        <w:jc w:val="center"/>
        <w:rPr>
          <w:i/>
          <w:sz w:val="24"/>
        </w:rPr>
      </w:pPr>
      <w:r>
        <w:rPr>
          <w:i/>
          <w:w w:val="105"/>
          <w:sz w:val="24"/>
        </w:rPr>
        <w:t>E-mail:</w:t>
      </w:r>
      <w:r>
        <w:rPr>
          <w:i/>
          <w:spacing w:val="-4"/>
          <w:w w:val="105"/>
          <w:sz w:val="24"/>
        </w:rPr>
        <w:t xml:space="preserve"> </w:t>
      </w:r>
      <w:r>
        <w:fldChar w:fldCharType="begin"/>
      </w:r>
      <w:r>
        <w:instrText xml:space="preserve"> HYPERLINK "mailto:tatyana.polezhaeva@yandex.ru" \h </w:instrText>
      </w:r>
      <w:r>
        <w:fldChar w:fldCharType="separate"/>
      </w:r>
      <w:r>
        <w:rPr>
          <w:rFonts w:hint="eastAsia"/>
          <w:i/>
          <w:spacing w:val="-2"/>
          <w:w w:val="105"/>
          <w:sz w:val="24"/>
          <w:lang w:val="ru-RU"/>
        </w:rPr>
        <w:t>1042238128@pfur.ru</w:t>
      </w:r>
      <w:r>
        <w:rPr>
          <w:i/>
          <w:spacing w:val="-2"/>
          <w:w w:val="105"/>
          <w:sz w:val="24"/>
        </w:rPr>
        <w:fldChar w:fldCharType="end"/>
      </w:r>
    </w:p>
    <w:p>
      <w:pPr>
        <w:jc w:val="both"/>
        <w:rPr>
          <w:rFonts w:hint="default"/>
          <w:sz w:val="24"/>
          <w:szCs w:val="24"/>
        </w:rPr>
      </w:pP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современном мире взаимосвязь политической системы и экономической сферы общества является одним из ключевых факторов в обеспечении устойчивого и сбалансированного развития. Политическая система, взаимодействуя с экономикой, формирует основные правила игры, определяет степень государственного вмешательства и создает условия для процветания бизнеса[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]. В современном мире, где глобализация и взаимосвязь национальных экономик становятся все более явными, важно понимать, как политика влияет на экономическое развитие. В данной работе мы рассмотрим, как политическая система влияет на экономическое развитие общества, и какие механизмы она использует для достижения целей.</w:t>
      </w: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Одним из важных аспектов взаимодействия политики и экономики является степень регулирования. Политическая система определяет, насколько активно государство вмешивается в экономические процессы.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США и страны Скандинавии предоставляют яркие примеры различных подходов[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]. США, с его акцентом на свободном рынке, приняли политику минимального вмешательства государства. Это стимулирует предпринимательство и инновации, как видно по успешному развитию технологических гигантов, таких как Apple, Google и Microsoft.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Скандинавские страны, напротив, внедрили более высокий уровень социального вмешательства. Несмотря на высокие налоги, такие страны как Дания и Норвегия создали стабильные системы социальной защиты и бесплатные образовательные программы, что способствует высокому уровню образования и равенства. Оба подхода успешны, демонстрируя, что регулирование может быть адаптировано к различным культурным и историческим контекстам[</w:t>
      </w:r>
      <w:r>
        <w:rPr>
          <w:rFonts w:hint="default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].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 другой стороны, страны с более интенсивным государственным вмешательством, например, Китай, могут использовать этот инструмент для достижения стратегических целей, таких как поддержка национальной промышленности или сокращение социальных неравенств. Политическая система в данном случае служит инструментом для формирования экономических приоритетов и балансирования интересов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Важным элементом взаимодействия политической системы и экономики является налоговая политика. Политические решения по уровню и структуре налогов напрямую влияют на бизнес-среду и инвестиционный климат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 Снижение налоговых бремен может стимулировать предпринимательскую активность и привлечение инвестиций, тогда как высокие налоги могут создавать дополнительные барьеры для бизнеса и инноваций.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Налоговая политика является еще одним мощным инструментом политической системы для воздействия на экономику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 Китай, с его стратегическим подходом к налогообложению, смог создать благоприятную среду для индустриального роста. Налоговые льготы и поддержка национальных компаний стали ключевыми факторами в подъеме китайской экономики.Латвия, в свою очередь, применяет более легкую налоговую политику, привлекая иностранные инвестиции. С низкими ставками налогов на прибыль и отсутствием налогов на дивиденды, Латвия стала одним из приоритетных направлений для бизнеса в регионе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Инфраструктурные решения и стратегии развития тоже как один важный аспект, в котором политическая система формирует экономическую среду. Германия, с ее фокусом на технических инновациях и высокотехнологичных отраслях, инвестирует в инфраструктуру и образование. Это создает среду для развития передовых технологий и устойчивого производства.Сингапур, с маленькой территорией, ставит акцент на инфраструктурных проектах, таких как порты и аэропорты, чтобы стать центром торговли и финансов в Азии. Стратегический подход к развитию инфраструктуры способствует экономическому росту и привлекает международные инвестиции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Еще одним аспектом является создание и поддержка инфраструктуры. Политическая система через бюджетные решения и стратегии развития определяет приоритеты в инфраструктурных проектах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 Эффективная инфраструктура, такая как транспортные сети и коммуникации, создает благоприятные условия для бизнеса, облегчая торговлю и интеграцию в мировую экономику.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Однако, роль политической системы не ограничивается только экономическим регулированием. Она также играет важную роль в формировании правовой системы, которая является основой для бизнеса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 Четкость и справедливость законов создают условия для заключения долгосрочных контрактов, защищают права инвесторов и предпринимателей, что важно для стабильности экономической среды.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Прозрачность политических институтов также имеет решающее значение. В странах с открытой и ответственной политической системой бизнес может оперировать в условиях более надежной предсказуемости, что способствует инвестициям и долгосрочному развитию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>Швеция служит примером страны с надежной правовой системой и высокой степенью прозрачности. Это создает доверие инвесторов и бизнес-сообщества, способствуя устойчивому экономическому развитию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>Сингапур, с его акцентом на борьбе с коррупцией и судебной независимостью, также демонстрирует, как политическая система может формировать правовую среду, поддерживающую бизнес. Обе страны становятся магнитами для инвестиций благодаря надежной правовой системе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/>
          <w:sz w:val="24"/>
          <w:szCs w:val="24"/>
        </w:rPr>
        <w:t>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 заключение, роль политической системы в развитии экономической сферы общества является многогранной. В современном мире, где экономическая глобализация становится все более явной, роль политической системы в развитии экономики становится критической. Она охватывает вопросы регулирования, налогообложения, инфраструктурных инвестиций, правового обеспечения и обеспечения прозрачности. Взаимодействие политики и экономики формирует основу для устойчивого развития, а понимание этой динамики помогает странам строить эффективные стратегии, способствующие процветанию и благосостоянию общества.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  <w:rPr>
          <w:rFonts w:hint="default"/>
          <w:lang w:val="ru-RU"/>
        </w:rPr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  <w:rPr>
          <w:rFonts w:hint="eastAsia" w:eastAsia="宋体"/>
          <w:lang w:eastAsia="zh-CN"/>
        </w:rPr>
      </w:pPr>
    </w:p>
    <w:p>
      <w:pPr>
        <w:pStyle w:val="2"/>
        <w:spacing w:before="188"/>
        <w:rPr>
          <w:rFonts w:hint="eastAsia" w:eastAsia="宋体"/>
          <w:lang w:eastAsia="zh-CN"/>
        </w:rPr>
      </w:pPr>
    </w:p>
    <w:p>
      <w:pPr>
        <w:pStyle w:val="2"/>
        <w:spacing w:before="188"/>
        <w:jc w:val="both"/>
        <w:rPr>
          <w:rFonts w:hint="eastAsia" w:eastAsia="宋体"/>
          <w:lang w:eastAsia="zh-CN"/>
        </w:rPr>
      </w:pPr>
      <w:bookmarkStart w:id="0" w:name="_GoBack"/>
      <w:bookmarkEnd w:id="0"/>
    </w:p>
    <w:p>
      <w:pPr>
        <w:pStyle w:val="2"/>
        <w:spacing w:before="188"/>
        <w:rPr>
          <w:spacing w:val="-2"/>
        </w:rPr>
      </w:pPr>
      <w:r>
        <w:t>Источники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литература</w:t>
      </w:r>
    </w:p>
    <w:p>
      <w:pPr>
        <w:pStyle w:val="2"/>
        <w:spacing w:before="188"/>
        <w:rPr>
          <w:spacing w:val="-2"/>
        </w:rPr>
      </w:pP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2"/>
          <w:w w:val="110"/>
          <w:sz w:val="24"/>
        </w:rPr>
        <w:t>Ашкеров А.Ю., Бударагин М.А. Основы теории политических партий - М.: 2007. - 264 с.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Белов Г. Эволюция нормативной политической системы современного российского общества // Общ. науки и современность. 2004. № 1.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Бурлацкий Ф. М., Галкин А. А. Современный Левиафан. Гл. 2. - М., 1985.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Василик М. А. Политология: Хрестоматия - М.: Гардарики, 2000. — 843 с.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Дахин В. Политическая культура и власть // Свободная мысль. 1999. № 1.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Краснов Б. И. Политическая система // Соц.-полит. журнал. 2003. № 5.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Лебедев И. А. Политическая система общества: структурно-функциональный анализ// Полис. 2002. № 1.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Макконнелл, К. Р. Экономикс: принципы, проблемы и политика : учеб, для вузов: пер с англ. / К. Р. Макконнелл, С. Л. Брю. – М.. 1992. – С. 396.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Политическое обеспечение бизнеса: Учебное пособие / Под peд. Ю.С. Коноплина. - М.: Изд-во МАИ, 2005.</w:t>
      </w:r>
    </w:p>
    <w:p>
      <w:pPr>
        <w:pStyle w:val="7"/>
        <w:numPr>
          <w:ilvl w:val="0"/>
          <w:numId w:val="0"/>
        </w:numPr>
        <w:tabs>
          <w:tab w:val="left" w:pos="684"/>
          <w:tab w:val="left" w:pos="686"/>
        </w:tabs>
        <w:spacing w:before="141" w:after="0" w:line="252" w:lineRule="auto"/>
        <w:ind w:leftChars="0" w:right="106" w:rightChars="0"/>
        <w:jc w:val="both"/>
        <w:rPr>
          <w:sz w:val="24"/>
        </w:rPr>
      </w:pPr>
    </w:p>
    <w:p>
      <w:pPr>
        <w:pStyle w:val="7"/>
        <w:numPr>
          <w:ilvl w:val="0"/>
          <w:numId w:val="0"/>
        </w:numPr>
        <w:tabs>
          <w:tab w:val="left" w:pos="684"/>
          <w:tab w:val="left" w:pos="686"/>
        </w:tabs>
        <w:spacing w:before="141" w:after="0" w:line="252" w:lineRule="auto"/>
        <w:ind w:leftChars="0" w:right="106" w:rightChars="0"/>
        <w:jc w:val="both"/>
        <w:rPr>
          <w:sz w:val="24"/>
        </w:rPr>
      </w:pPr>
    </w:p>
    <w:sectPr>
      <w:headerReference r:id="rId5" w:type="default"/>
      <w:footerReference r:id="rId6" w:type="default"/>
      <w:pgSz w:w="11910" w:h="16840"/>
      <w:pgMar w:top="1040" w:right="460" w:bottom="980" w:left="1600" w:header="375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firstLine="0"/>
      <w:jc w:val="left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7087235</wp:posOffset>
              </wp:positionH>
              <wp:positionV relativeFrom="page">
                <wp:posOffset>10015855</wp:posOffset>
              </wp:positionV>
              <wp:extent cx="163195" cy="24892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3"/>
                            <w:spacing w:before="71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58.05pt;margin-top:788.65pt;height:19.6pt;width:12.85pt;mso-position-horizontal-relative:page;mso-position-vertical-relative:page;z-index:-251657216;mso-width-relative:page;mso-height-relative:page;" filled="f" stroked="f" coordsize="21600,21600" o:gfxdata="UEsDBAoAAAAAAIdO4kAAAAAAAAAAAAAAAAAEAAAAZHJzL1BLAwQUAAAACACHTuJAo3MURdsAAAAP&#10;AQAADwAAAGRycy9kb3ducmV2LnhtbE2PzU7DMBCE70i8g7VI3KhtoGkb4lQIwQkJkYYDRyd2E6vx&#10;OsTuD2/P9lRuM9pPszPF+uQHdrBTdAEVyJkAZrENxmGn4Kt+u1sCi0mj0UNAq+DXRliX11eFzk04&#10;YmUPm9QxCsGYawV9SmPOeWx763WchdEi3bZh8jqRnTpuJn2kcD/weyEy7rVD+tDr0b70tt1t9l7B&#10;8zdWr+7no/mstpWr65XA92yn1O2NFE/Akj2lCwzn+lQdSurUhD2ayAbyUmaSWFLzxeIB2JmRj5L2&#10;NKQymc2BlwX/v6P8A1BLAwQUAAAACACHTuJAncDevLIBAABzAwAADgAAAGRycy9lMm9Eb2MueG1s&#10;rVPBbtswDL0P6D8IujdOvLVojTjFtmDFgGEb0O4DZFmKBViiJiqx8/ejZDsduksPu8iUSD2+9yhv&#10;H0bbs5MKaMDVfLNac6achNa4Q81/PX+5vuMMo3Ct6MGpmp8V8ofd1bvt4CtVQgd9qwIjEIfV4Gve&#10;xeirokDZKStwBV45SmoIVkTahkPRBjEQuu2Lcr2+LQYIrQ8gFSKd7qcknxHDWwBBayPVHuTRKhcn&#10;1KB6EUkSdsYj32W2WisZf2iNKrK+5qQ05pWaUNyktdhtRXUIwndGzhTEWyi80mSFcdT0ArUXUbBj&#10;MP9AWSMDIOi4kmCLSUh2hFRs1q+8eeqEV1kLWY3+Yjr+P1j5/fQzMNPWvOTMCUsDf1ZjbGBkZTJn&#10;8FhRzZOnqjh+gpGezHKOdJg0jzrY9CU1jPJk7fliLWExmS7dvt/c33AmKVV+uLsvs/XFy2UfMD4q&#10;sCwFNQ80uWyoOH3DSESodCmhTaI1tU9RHJtx5tpAeyaqA0205vj7KILirP/qyLI0/iUIS9AsQYj9&#10;Z8iPJElx8PEYQZvcObWYcOfONItMaH43adh/73PVy7+y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jcxRF2wAAAA8BAAAPAAAAAAAAAAEAIAAAACIAAABkcnMvZG93bnJldi54bWxQSwECFAAUAAAA&#10;CACHTuJAncDevL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71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firstLine="0"/>
      <w:jc w:val="left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224790</wp:posOffset>
              </wp:positionV>
              <wp:extent cx="3141345" cy="2165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134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24"/>
                            </w:rPr>
                            <w:t>Конференция «Ломоносов 202</w:t>
                          </w:r>
                          <w:r>
                            <w:rPr>
                              <w:rFonts w:hint="eastAsia" w:eastAsia="宋体"/>
                              <w:i/>
                              <w:sz w:val="24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i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88.2pt;margin-top:17.7pt;height:17.05pt;width:247.35pt;mso-position-horizontal-relative:page;mso-position-vertical-relative:page;z-index:-251657216;mso-width-relative:page;mso-height-relative:page;" filled="f" stroked="f" coordsize="21600,21600" o:gfxdata="UEsDBAoAAAAAAIdO4kAAAAAAAAAAAAAAAAAEAAAAZHJzL1BLAwQUAAAACACHTuJAg7w49dgAAAAJ&#10;AQAADwAAAGRycy9kb3ducmV2LnhtbE2PzU7DMBCE70i8g7VI3KgdoGmbxqkQghMSIg0Hjk68TaLG&#10;6xC7P7w9y6mcdkczmv0235zdII44hd6ThmSmQCA13vbUavisXu+WIEI0ZM3gCTX8YIBNcX2Vm8z6&#10;E5V43MZWcAmFzGjoYhwzKUPToTNh5kck9nZ+ciaynFppJ3PicjfIe6VS6UxPfKEzIz532Oy3B6fh&#10;6YvKl/77vf4od2VfVStFb+le69ubRK1BRDzHSxj+8BkdCmaq/YFsEAPrRfrIUQ0Pc54cSBdJAqLm&#10;ZTUHWeTy/wfFL1BLAwQUAAAACACHTuJAmimEWbIBAAB0AwAADgAAAGRycy9lMm9Eb2MueG1srVNR&#10;j9MwDH5H4j9EeWddt9sJTetOwARCQoB0xw9I02SN1MTBztbu3+O03Q4dL/fAS+rYzmd/n93dw+A7&#10;cTZIDkIly8VSChM0NC4cK/nr6fO791JQUqFRHQRTyYsh+bB/+2bXx61ZQQtdY1AwSKBtHyvZphS3&#10;RUG6NV7RAqIJHLSAXiW+4rFoUPWM7rtitVzeFz1gExG0IWLvYQrKGRFfAwjWOm0OoE/ehDShoulU&#10;YkrUukhyP3ZrrdHph7VkkugqyUzTeHIRtut8Fvud2h5RxdbpuQX1mhZecPLKBS56gzqopMQJ3T9Q&#10;3mkEApsWGnwxERkVYRbl8oU2j62KZuTCUlO8iU7/D1Z/P/9E4RreBCmC8jzwJzOkGgZRZnH6SFvO&#10;eYyclYaPMOTE2U/szJwHiz5/mY3gOEt7uUnLWEKzc13eleu7jRSaY6vyfrPeZJji+XVESl8MeJGN&#10;SiKPblRUnb9RmlKvKfwu9zXVz1Ya6mFuqobmwr32PNJK0u+TQiNF9zWwZnn+VwOvRn01MHWfYNyS&#10;zCXAh1MC68bKucSEO1fmYYy9z4uTp/33fcx6/ln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D&#10;vDj12AAAAAkBAAAPAAAAAAAAAAEAIAAAACIAAABkcnMvZG93bnJldi54bWxQSwECFAAUAAAACACH&#10;TuJAmimEWb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i/>
                        <w:sz w:val="24"/>
                      </w:rPr>
                    </w:pPr>
                    <w:r>
                      <w:rPr>
                        <w:rFonts w:hint="eastAsia"/>
                        <w:i/>
                        <w:sz w:val="24"/>
                      </w:rPr>
                      <w:t>Конференция «Ломоносов 202</w:t>
                    </w:r>
                    <w:r>
                      <w:rPr>
                        <w:rFonts w:hint="eastAsia" w:eastAsia="宋体"/>
                        <w:i/>
                        <w:sz w:val="24"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  <w:i/>
                        <w:sz w:val="24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326" w:hanging="3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4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6" w:hanging="3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3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9" w:hanging="3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3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2" w:hanging="3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19" w:hanging="3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35" w:hanging="3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52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ODVlYTk1ZDBiYTc5NzdhN2NhN2Q1OGFjYzNlZWJiOWIifQ=="/>
  </w:docVars>
  <w:rsids>
    <w:rsidRoot w:val="00000000"/>
    <w:rsid w:val="006A72B0"/>
    <w:rsid w:val="015679D0"/>
    <w:rsid w:val="04161698"/>
    <w:rsid w:val="045301F6"/>
    <w:rsid w:val="061B11E8"/>
    <w:rsid w:val="07D94EB6"/>
    <w:rsid w:val="08316AA1"/>
    <w:rsid w:val="086C5D2B"/>
    <w:rsid w:val="089D5EE4"/>
    <w:rsid w:val="095C7B4D"/>
    <w:rsid w:val="0A7B04A7"/>
    <w:rsid w:val="0B48482D"/>
    <w:rsid w:val="0B5036E2"/>
    <w:rsid w:val="0CB63A18"/>
    <w:rsid w:val="0D1349C7"/>
    <w:rsid w:val="0DD8176C"/>
    <w:rsid w:val="0DED6FC6"/>
    <w:rsid w:val="0EC046DA"/>
    <w:rsid w:val="0F046CBD"/>
    <w:rsid w:val="127B54E8"/>
    <w:rsid w:val="136A10B9"/>
    <w:rsid w:val="13F217DA"/>
    <w:rsid w:val="15C947BC"/>
    <w:rsid w:val="1666025D"/>
    <w:rsid w:val="16970417"/>
    <w:rsid w:val="17400A52"/>
    <w:rsid w:val="1772678E"/>
    <w:rsid w:val="17D86F39"/>
    <w:rsid w:val="18B43502"/>
    <w:rsid w:val="19C72DC1"/>
    <w:rsid w:val="1D9B4C90"/>
    <w:rsid w:val="1DB7314C"/>
    <w:rsid w:val="1DD261D8"/>
    <w:rsid w:val="1EEA12FF"/>
    <w:rsid w:val="1F1D3483"/>
    <w:rsid w:val="201E5705"/>
    <w:rsid w:val="230230BC"/>
    <w:rsid w:val="246F1C69"/>
    <w:rsid w:val="24CF6FCD"/>
    <w:rsid w:val="251F61A7"/>
    <w:rsid w:val="25DA3E7C"/>
    <w:rsid w:val="26720558"/>
    <w:rsid w:val="272F01F7"/>
    <w:rsid w:val="284A2313"/>
    <w:rsid w:val="287A1946"/>
    <w:rsid w:val="287F0D0A"/>
    <w:rsid w:val="28EA6ACC"/>
    <w:rsid w:val="29143B49"/>
    <w:rsid w:val="2A2153B8"/>
    <w:rsid w:val="2A4C2E6E"/>
    <w:rsid w:val="2BED7625"/>
    <w:rsid w:val="2C1A76C8"/>
    <w:rsid w:val="2C4219EE"/>
    <w:rsid w:val="2C4C4C3F"/>
    <w:rsid w:val="2C6721E1"/>
    <w:rsid w:val="2D483DC1"/>
    <w:rsid w:val="2E976DAE"/>
    <w:rsid w:val="2F3565C7"/>
    <w:rsid w:val="2F7470EF"/>
    <w:rsid w:val="304F36B8"/>
    <w:rsid w:val="30696528"/>
    <w:rsid w:val="30A752A2"/>
    <w:rsid w:val="321318E0"/>
    <w:rsid w:val="32186458"/>
    <w:rsid w:val="32281772"/>
    <w:rsid w:val="34396CAB"/>
    <w:rsid w:val="36056CF3"/>
    <w:rsid w:val="3684230E"/>
    <w:rsid w:val="375A10AA"/>
    <w:rsid w:val="37B704C1"/>
    <w:rsid w:val="38AA5930"/>
    <w:rsid w:val="39E10255"/>
    <w:rsid w:val="3B583041"/>
    <w:rsid w:val="3BA90120"/>
    <w:rsid w:val="3C6C0D26"/>
    <w:rsid w:val="3D9D5A63"/>
    <w:rsid w:val="402B37FA"/>
    <w:rsid w:val="4044666A"/>
    <w:rsid w:val="424B1F31"/>
    <w:rsid w:val="44263728"/>
    <w:rsid w:val="444F55DD"/>
    <w:rsid w:val="45346A17"/>
    <w:rsid w:val="454964D0"/>
    <w:rsid w:val="464B38DA"/>
    <w:rsid w:val="46D22C21"/>
    <w:rsid w:val="4710374A"/>
    <w:rsid w:val="47C06F1E"/>
    <w:rsid w:val="49830203"/>
    <w:rsid w:val="49D00F6E"/>
    <w:rsid w:val="4BD96ED8"/>
    <w:rsid w:val="4BED4059"/>
    <w:rsid w:val="4CC0351C"/>
    <w:rsid w:val="4D3F6B37"/>
    <w:rsid w:val="4E730FEA"/>
    <w:rsid w:val="4F0973FC"/>
    <w:rsid w:val="4F8E345D"/>
    <w:rsid w:val="4FD25CE8"/>
    <w:rsid w:val="527C7EE5"/>
    <w:rsid w:val="53760DD8"/>
    <w:rsid w:val="539354E6"/>
    <w:rsid w:val="555222EF"/>
    <w:rsid w:val="55954B6D"/>
    <w:rsid w:val="56242D6E"/>
    <w:rsid w:val="56424FA2"/>
    <w:rsid w:val="56BC4D54"/>
    <w:rsid w:val="56E66275"/>
    <w:rsid w:val="572A7F10"/>
    <w:rsid w:val="57AE0B41"/>
    <w:rsid w:val="57D00194"/>
    <w:rsid w:val="5991071A"/>
    <w:rsid w:val="5A3035D2"/>
    <w:rsid w:val="5A6C4CE3"/>
    <w:rsid w:val="5B613C4B"/>
    <w:rsid w:val="5D080CF3"/>
    <w:rsid w:val="5D845EA0"/>
    <w:rsid w:val="603B318E"/>
    <w:rsid w:val="612358BE"/>
    <w:rsid w:val="63057A83"/>
    <w:rsid w:val="63C82F8A"/>
    <w:rsid w:val="63F0428F"/>
    <w:rsid w:val="654F4FE5"/>
    <w:rsid w:val="657A4758"/>
    <w:rsid w:val="665B6338"/>
    <w:rsid w:val="66C33EDD"/>
    <w:rsid w:val="678C54B7"/>
    <w:rsid w:val="69690D6B"/>
    <w:rsid w:val="6B2B0D1B"/>
    <w:rsid w:val="6B601CFA"/>
    <w:rsid w:val="6BC172D8"/>
    <w:rsid w:val="6C111246"/>
    <w:rsid w:val="6C705F6D"/>
    <w:rsid w:val="6D203026"/>
    <w:rsid w:val="6E8201DA"/>
    <w:rsid w:val="6EAB5982"/>
    <w:rsid w:val="6FDA1532"/>
    <w:rsid w:val="70207CAA"/>
    <w:rsid w:val="705B0CE2"/>
    <w:rsid w:val="70CE5958"/>
    <w:rsid w:val="71867FE1"/>
    <w:rsid w:val="72B33057"/>
    <w:rsid w:val="72E72D01"/>
    <w:rsid w:val="73BB6668"/>
    <w:rsid w:val="74365CEE"/>
    <w:rsid w:val="745D771F"/>
    <w:rsid w:val="774921DC"/>
    <w:rsid w:val="785827DF"/>
    <w:rsid w:val="78BE62B2"/>
    <w:rsid w:val="7C594C70"/>
    <w:rsid w:val="7C9464D5"/>
    <w:rsid w:val="7CF229CE"/>
    <w:rsid w:val="7D036989"/>
    <w:rsid w:val="7D146DE8"/>
    <w:rsid w:val="7D197F5B"/>
    <w:rsid w:val="7F89761A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right="4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ru-RU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00" w:firstLine="351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pPr>
      <w:ind w:left="1064" w:hanging="613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autoRedefine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2024-01-25T07:57:00Z</dcterms:created>
  <dc:creator>Lenovo</dc:creator>
  <cp:lastModifiedBy>小冰在莫斯科</cp:lastModifiedBy>
  <dcterms:modified xsi:type="dcterms:W3CDTF">2024-02-15T19:59:35Z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2024-01-25T00:00:00Z</vt:filetime>
  </property>
  <property fmtid="{D5CDD505-2E9C-101B-9397-08002B2CF9AE}" pid="5" name="PTEX.Fullbanner">
    <vt:lpwstr>This is pdfTeX, Version 3.14159265-2.6-1.40.17 (TeX Live 2016/Debian) kpathsea version 6.2.2</vt:lpwstr>
  </property>
  <property fmtid="{D5CDD505-2E9C-101B-9397-08002B2CF9AE}" pid="6" name="Producer">
    <vt:lpwstr>pdfTeX-1.40.17</vt:lpwstr>
  </property>
  <property fmtid="{D5CDD505-2E9C-101B-9397-08002B2CF9AE}" pid="7" name="KSOProductBuildVer">
    <vt:lpwstr>2052-12.1.0.16250</vt:lpwstr>
  </property>
  <property fmtid="{D5CDD505-2E9C-101B-9397-08002B2CF9AE}" pid="8" name="ICV">
    <vt:lpwstr>3A6352CD448840B5B4B5A40B30370335_12</vt:lpwstr>
  </property>
</Properties>
</file>