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7194" w14:textId="41D49DC3" w:rsidR="00855A6C" w:rsidRDefault="00C64E6B" w:rsidP="00312D2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64E6B">
        <w:rPr>
          <w:rFonts w:ascii="Times New Roman" w:hAnsi="Times New Roman" w:cs="Times New Roman"/>
          <w:b/>
          <w:bCs/>
        </w:rPr>
        <w:t xml:space="preserve">Гражданское общество и </w:t>
      </w:r>
      <w:r w:rsidR="00093773">
        <w:rPr>
          <w:rFonts w:ascii="Times New Roman" w:hAnsi="Times New Roman" w:cs="Times New Roman"/>
          <w:b/>
          <w:bCs/>
        </w:rPr>
        <w:t>формы</w:t>
      </w:r>
      <w:r w:rsidRPr="00C64E6B">
        <w:rPr>
          <w:rFonts w:ascii="Times New Roman" w:hAnsi="Times New Roman" w:cs="Times New Roman"/>
          <w:b/>
          <w:bCs/>
        </w:rPr>
        <w:t xml:space="preserve"> его взаимодействия с государством в Турции</w:t>
      </w:r>
    </w:p>
    <w:p w14:paraId="12FA4FD8" w14:textId="4AEBAC2B" w:rsidR="00312D2C" w:rsidRPr="00B51285" w:rsidRDefault="00312D2C" w:rsidP="00312D2C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B51285">
        <w:rPr>
          <w:rFonts w:ascii="Times New Roman" w:hAnsi="Times New Roman" w:cs="Times New Roman"/>
          <w:b/>
          <w:bCs/>
          <w:i/>
          <w:iCs/>
        </w:rPr>
        <w:t xml:space="preserve">Шлыков </w:t>
      </w:r>
      <w:r w:rsidR="00C64E6B">
        <w:rPr>
          <w:rFonts w:ascii="Times New Roman" w:hAnsi="Times New Roman" w:cs="Times New Roman"/>
          <w:b/>
          <w:bCs/>
          <w:i/>
          <w:iCs/>
        </w:rPr>
        <w:t>П.</w:t>
      </w:r>
      <w:r w:rsidRPr="00B51285">
        <w:rPr>
          <w:rFonts w:ascii="Times New Roman" w:hAnsi="Times New Roman" w:cs="Times New Roman"/>
          <w:b/>
          <w:bCs/>
          <w:i/>
          <w:iCs/>
        </w:rPr>
        <w:t>В.</w:t>
      </w:r>
    </w:p>
    <w:p w14:paraId="3A771350" w14:textId="3C5F0132" w:rsidR="00312D2C" w:rsidRPr="00312D2C" w:rsidRDefault="00312D2C" w:rsidP="00312D2C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312D2C">
        <w:rPr>
          <w:rFonts w:ascii="Times New Roman" w:hAnsi="Times New Roman" w:cs="Times New Roman"/>
          <w:i/>
          <w:iCs/>
        </w:rPr>
        <w:t>ИСАА МГУ имени Ломоносова</w:t>
      </w:r>
    </w:p>
    <w:p w14:paraId="480C7D06" w14:textId="1237C837" w:rsidR="00312D2C" w:rsidRPr="00312D2C" w:rsidRDefault="00312D2C" w:rsidP="00312D2C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  <w:lang w:val="en-US"/>
        </w:rPr>
        <w:t>shlykov</w:t>
      </w:r>
      <w:proofErr w:type="spellEnd"/>
      <w:r w:rsidRPr="00312D2C">
        <w:rPr>
          <w:rFonts w:ascii="Times New Roman" w:hAnsi="Times New Roman" w:cs="Times New Roman"/>
          <w:i/>
          <w:iCs/>
        </w:rPr>
        <w:t>@iaas.msu.ru</w:t>
      </w:r>
    </w:p>
    <w:p w14:paraId="49AE6E09" w14:textId="77777777" w:rsidR="00134E44" w:rsidRDefault="00C41299" w:rsidP="00C4129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41299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докладе представлены результаты анализа</w:t>
      </w:r>
      <w:r w:rsidRPr="00C41299">
        <w:rPr>
          <w:rFonts w:ascii="Times New Roman" w:hAnsi="Times New Roman" w:cs="Times New Roman"/>
        </w:rPr>
        <w:t xml:space="preserve"> специфик</w:t>
      </w:r>
      <w:r>
        <w:rPr>
          <w:rFonts w:ascii="Times New Roman" w:hAnsi="Times New Roman" w:cs="Times New Roman"/>
        </w:rPr>
        <w:t>и</w:t>
      </w:r>
      <w:r w:rsidRPr="00C41299">
        <w:rPr>
          <w:rFonts w:ascii="Times New Roman" w:hAnsi="Times New Roman" w:cs="Times New Roman"/>
        </w:rPr>
        <w:t xml:space="preserve"> развития гражданского общества в Турции, </w:t>
      </w:r>
      <w:r>
        <w:rPr>
          <w:rFonts w:ascii="Times New Roman" w:hAnsi="Times New Roman" w:cs="Times New Roman"/>
        </w:rPr>
        <w:t>детально рассматриваются</w:t>
      </w:r>
      <w:r w:rsidRPr="00C41299">
        <w:rPr>
          <w:rFonts w:ascii="Times New Roman" w:hAnsi="Times New Roman" w:cs="Times New Roman"/>
        </w:rPr>
        <w:t xml:space="preserve"> модели и механизмы его взаимодействия с государством в условиях укрепления власти </w:t>
      </w:r>
      <w:proofErr w:type="spellStart"/>
      <w:r w:rsidRPr="00C41299">
        <w:rPr>
          <w:rFonts w:ascii="Times New Roman" w:hAnsi="Times New Roman" w:cs="Times New Roman"/>
        </w:rPr>
        <w:t>Реджепа</w:t>
      </w:r>
      <w:proofErr w:type="spellEnd"/>
      <w:r w:rsidRPr="00C41299">
        <w:rPr>
          <w:rFonts w:ascii="Times New Roman" w:hAnsi="Times New Roman" w:cs="Times New Roman"/>
        </w:rPr>
        <w:t xml:space="preserve"> Эрдогана и Партии справедливости и развития в 2000</w:t>
      </w:r>
      <w:r>
        <w:rPr>
          <w:rFonts w:ascii="Times New Roman" w:hAnsi="Times New Roman" w:cs="Times New Roman"/>
        </w:rPr>
        <w:t>-</w:t>
      </w:r>
      <w:r w:rsidRPr="00C41299">
        <w:rPr>
          <w:rFonts w:ascii="Times New Roman" w:hAnsi="Times New Roman" w:cs="Times New Roman"/>
        </w:rPr>
        <w:t xml:space="preserve">2010-е годы. </w:t>
      </w:r>
      <w:r w:rsidR="00134E44">
        <w:rPr>
          <w:rFonts w:ascii="Times New Roman" w:hAnsi="Times New Roman" w:cs="Times New Roman"/>
        </w:rPr>
        <w:t xml:space="preserve">Исследование построено на изучении широкого спектра разноплановых источников, </w:t>
      </w:r>
      <w:r w:rsidRPr="00C41299">
        <w:rPr>
          <w:rFonts w:ascii="Times New Roman" w:hAnsi="Times New Roman" w:cs="Times New Roman"/>
        </w:rPr>
        <w:t>включа</w:t>
      </w:r>
      <w:r w:rsidR="00134E44">
        <w:rPr>
          <w:rFonts w:ascii="Times New Roman" w:hAnsi="Times New Roman" w:cs="Times New Roman"/>
        </w:rPr>
        <w:t xml:space="preserve">ющих разнообразные </w:t>
      </w:r>
      <w:r w:rsidRPr="00C41299">
        <w:rPr>
          <w:rFonts w:ascii="Times New Roman" w:hAnsi="Times New Roman" w:cs="Times New Roman"/>
        </w:rPr>
        <w:t>материал</w:t>
      </w:r>
      <w:r w:rsidR="00134E44">
        <w:rPr>
          <w:rFonts w:ascii="Times New Roman" w:hAnsi="Times New Roman" w:cs="Times New Roman"/>
        </w:rPr>
        <w:t>ы</w:t>
      </w:r>
      <w:r w:rsidRPr="00C41299">
        <w:rPr>
          <w:rFonts w:ascii="Times New Roman" w:hAnsi="Times New Roman" w:cs="Times New Roman"/>
        </w:rPr>
        <w:t xml:space="preserve"> по деятельности турецких неправительственных организаций (уставные документы, пресс-коммюнике, публикации СМИ), официальные документы и нормативные акты, регулирующие публичную сферу. </w:t>
      </w:r>
    </w:p>
    <w:p w14:paraId="33D08638" w14:textId="43C0303A" w:rsidR="005E1AEB" w:rsidRDefault="00C41299" w:rsidP="00C4129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41299">
        <w:rPr>
          <w:rFonts w:ascii="Times New Roman" w:hAnsi="Times New Roman" w:cs="Times New Roman"/>
        </w:rPr>
        <w:t>Основн</w:t>
      </w:r>
      <w:r>
        <w:rPr>
          <w:rFonts w:ascii="Times New Roman" w:hAnsi="Times New Roman" w:cs="Times New Roman"/>
        </w:rPr>
        <w:t xml:space="preserve">ая гипотеза </w:t>
      </w:r>
      <w:r w:rsidRPr="00C41299">
        <w:rPr>
          <w:rFonts w:ascii="Times New Roman" w:hAnsi="Times New Roman" w:cs="Times New Roman"/>
        </w:rPr>
        <w:t>заключатся в том, что при статистически значимом количественном росте неправительственных организаций (НПО) в Турции в обозначенный хронологический период, большинство из них так и не стали агентами дальнейшей европеизации и политической модернизации Турции. Напротив, в ситуации массированной финансовой и организационной поддержки со стороны государства в отношении НПО сохраняющаяся структурная разрозненность турецкого гражданского общества привела к усилению именно тех его элементов, которые были готовы взаимодействовать с политическим режимом, а механизмы внешнего воздействия на НПО (в первую очередь, со стороны европейских фондов), наоборот, оказались ограниченными или даже провальными.</w:t>
      </w:r>
    </w:p>
    <w:p w14:paraId="3F06FC8F" w14:textId="38EEB628" w:rsidR="00134E44" w:rsidRDefault="00134E44" w:rsidP="00134E4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34E44">
        <w:rPr>
          <w:rFonts w:ascii="Times New Roman" w:hAnsi="Times New Roman" w:cs="Times New Roman"/>
        </w:rPr>
        <w:t xml:space="preserve">Одна из отличительных черт гражданского общества в странах Ближнего и Среднего Востока – органическая связь между институтами гражданского общества и государством, точнее представителями власти и национальной элиты. Турция не является исключением. Самый хрестоматийный пример такой связи – доминирование действующих и отставных чиновников среди функционеров неправительственных организаций. Они выступают в роли учредителей, входят в состав попечительских и управляющих советов, занимают ключевые посты в руководящих и исполнительных органах значительной части крупных и влиятельных НПО в регионе. Получается, что наиболее влиятельные институты гражданского общества служат укреплению действующего режима власти, а не выдвигают альтернативы существующему социальному, политическому и экономическому порядку. Профсоюзы и профессиональные объединения, еще один важный субъект сферы гражданского общества, находятся в прямой экономической зависимости от правительства, что лишает их возможности вступать в конфронтацию с властью в отстаивании своих групповых интересов, а их оппозиционность, по сути, становится в большей степени имитационной. В условиях </w:t>
      </w:r>
      <w:r w:rsidRPr="00134E44">
        <w:rPr>
          <w:rFonts w:ascii="Times New Roman" w:hAnsi="Times New Roman" w:cs="Times New Roman"/>
        </w:rPr>
        <w:lastRenderedPageBreak/>
        <w:t xml:space="preserve">многопланового контроля над институтами гражданского общества – особенно НПО, в шутку именуемых «государственными неправительственными организациями», – едва ли можно ожидать, что гражданская активность, зажатая в такие рамки и направляемая «сверху», может способствовать повышению социальной и политической ответственности власти. Скорее наоборот, подобные НПО служат наращиванию влияния правящих элит, которые с их помощью навязывают обществу соответствующий политический и экономический дискурс. </w:t>
      </w:r>
      <w:r w:rsidR="00F47022">
        <w:rPr>
          <w:rFonts w:ascii="Times New Roman" w:hAnsi="Times New Roman" w:cs="Times New Roman"/>
        </w:rPr>
        <w:t>В результате</w:t>
      </w:r>
      <w:r w:rsidRPr="00134E44">
        <w:rPr>
          <w:rFonts w:ascii="Times New Roman" w:hAnsi="Times New Roman" w:cs="Times New Roman"/>
        </w:rPr>
        <w:t xml:space="preserve"> у простых граждан отсутствуют механизмы воздействия на власть, которая имеет возможность манипулировать институтами гражданского общества.</w:t>
      </w:r>
    </w:p>
    <w:p w14:paraId="7E7C6C5C" w14:textId="355BCFF4" w:rsidR="00F33F07" w:rsidRPr="00423250" w:rsidRDefault="00C41299" w:rsidP="00134E4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Проведенное и</w:t>
      </w:r>
      <w:r w:rsidRPr="00C41299">
        <w:rPr>
          <w:rFonts w:ascii="Times New Roman" w:hAnsi="Times New Roman" w:cs="Times New Roman"/>
        </w:rPr>
        <w:t xml:space="preserve">сследование специфики </w:t>
      </w:r>
      <w:r w:rsidR="00937DC4">
        <w:rPr>
          <w:rFonts w:ascii="Times New Roman" w:hAnsi="Times New Roman" w:cs="Times New Roman"/>
        </w:rPr>
        <w:t xml:space="preserve">гражданской активности </w:t>
      </w:r>
      <w:r w:rsidRPr="00C41299">
        <w:rPr>
          <w:rFonts w:ascii="Times New Roman" w:hAnsi="Times New Roman" w:cs="Times New Roman"/>
        </w:rPr>
        <w:t>в Турции позвол</w:t>
      </w:r>
      <w:r>
        <w:rPr>
          <w:rFonts w:ascii="Times New Roman" w:hAnsi="Times New Roman" w:cs="Times New Roman"/>
        </w:rPr>
        <w:t xml:space="preserve">ило </w:t>
      </w:r>
      <w:r w:rsidRPr="00C41299">
        <w:rPr>
          <w:rFonts w:ascii="Times New Roman" w:hAnsi="Times New Roman" w:cs="Times New Roman"/>
        </w:rPr>
        <w:t xml:space="preserve">сделать несколько аналитически значимых выводов относительно механизмов взаимодействия государства и гражданского общества в Турции и актуальных тенденций его трансформации. Опыт развития турецкого гражданского активизма на протяжении большей части XX в. сформировал в этой стране достаточно устойчивые модели отношений гражданского общества и государства, многие из которых продолжили воспроизводиться и в условиях </w:t>
      </w:r>
      <w:proofErr w:type="spellStart"/>
      <w:r w:rsidRPr="00C41299">
        <w:rPr>
          <w:rFonts w:ascii="Times New Roman" w:hAnsi="Times New Roman" w:cs="Times New Roman"/>
        </w:rPr>
        <w:t>эрдогановской</w:t>
      </w:r>
      <w:proofErr w:type="spellEnd"/>
      <w:r w:rsidRPr="00C41299">
        <w:rPr>
          <w:rFonts w:ascii="Times New Roman" w:hAnsi="Times New Roman" w:cs="Times New Roman"/>
        </w:rPr>
        <w:t xml:space="preserve"> Турции. С одной стороны, исторический анализ свидетельствует о том, что Турция никогда не была страной, испытывавшей дефицит самых разнообразных форм гражданской самоорганизации. С другой стороны, за прошедший с кемалистской революции период турецкое государство накопило богатейший опыт управления неправительственными организациями и движениями и переформатирования их деятельности в выгодном для правящей политической элиты ключе. Именно поэтому ставка руководства ЕС на поддержку НПО как инструментов форсированной демократизации Турции в период переговорного процесса о вступлении страны в ЕС, по сути, не дала ожидаемого результата.</w:t>
      </w:r>
      <w:r w:rsidR="00134E44">
        <w:rPr>
          <w:rFonts w:ascii="Times New Roman" w:hAnsi="Times New Roman" w:cs="Times New Roman"/>
        </w:rPr>
        <w:t xml:space="preserve"> </w:t>
      </w:r>
      <w:r w:rsidRPr="00C41299">
        <w:rPr>
          <w:rFonts w:ascii="Times New Roman" w:hAnsi="Times New Roman" w:cs="Times New Roman"/>
        </w:rPr>
        <w:t xml:space="preserve">При ощутимом количественном росте НПО, большинство из них так и не стали агентами дальнейшей европеизации и политической модернизации Турции. Наоборот, в условиях поиска нового социально-политического баланса, укрепления власти ПСР и лично </w:t>
      </w:r>
      <w:proofErr w:type="spellStart"/>
      <w:r w:rsidRPr="00C41299">
        <w:rPr>
          <w:rFonts w:ascii="Times New Roman" w:hAnsi="Times New Roman" w:cs="Times New Roman"/>
        </w:rPr>
        <w:t>Реджепа</w:t>
      </w:r>
      <w:proofErr w:type="spellEnd"/>
      <w:r w:rsidRPr="00C41299">
        <w:rPr>
          <w:rFonts w:ascii="Times New Roman" w:hAnsi="Times New Roman" w:cs="Times New Roman"/>
        </w:rPr>
        <w:t xml:space="preserve"> Эрдогана, ограничения и впоследствии устранения из поля политического управления такого института, традиционно выступавшего за сохранение светского характера власти и турецкого государства, как армия, гражданское общество оказалось в активе именно правящего режима. В ситуации массированной финансовой и организационной поддержки со стороны государства в отношении НПО сохраняющаяся фрагментарность турецкого гражданского общества привела к усилению именно тех его элементов, которые были готовы взаимодействовать с политическим режимом и содействовать его укреплению, а механизмы внешнего воздействия на НПО, наоборот, оказались ограниченными или даже провальными.</w:t>
      </w:r>
    </w:p>
    <w:sectPr w:rsidR="00F33F07" w:rsidRPr="00423250" w:rsidSect="00312D2C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EB"/>
    <w:rsid w:val="00093773"/>
    <w:rsid w:val="00124CAF"/>
    <w:rsid w:val="00134E44"/>
    <w:rsid w:val="001403E7"/>
    <w:rsid w:val="001623C0"/>
    <w:rsid w:val="001624A5"/>
    <w:rsid w:val="00165BDF"/>
    <w:rsid w:val="00312D2C"/>
    <w:rsid w:val="00423250"/>
    <w:rsid w:val="004A3A0B"/>
    <w:rsid w:val="00554974"/>
    <w:rsid w:val="005E1AEB"/>
    <w:rsid w:val="00666312"/>
    <w:rsid w:val="00855A6C"/>
    <w:rsid w:val="00937DC4"/>
    <w:rsid w:val="00B51285"/>
    <w:rsid w:val="00BC35A2"/>
    <w:rsid w:val="00C41299"/>
    <w:rsid w:val="00C64E6B"/>
    <w:rsid w:val="00E868A5"/>
    <w:rsid w:val="00EC23F4"/>
    <w:rsid w:val="00EE621B"/>
    <w:rsid w:val="00F33F07"/>
    <w:rsid w:val="00F47022"/>
    <w:rsid w:val="00FB3FF3"/>
    <w:rsid w:val="00F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AFA20C"/>
  <w15:chartTrackingRefBased/>
  <w15:docId w15:val="{A1693664-B3C2-C84A-B79C-D2EE4F22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2023-03-10T18:55:00Z</cp:lastPrinted>
  <dcterms:created xsi:type="dcterms:W3CDTF">2024-02-02T09:14:00Z</dcterms:created>
  <dcterms:modified xsi:type="dcterms:W3CDTF">2024-02-02T09:15:00Z</dcterms:modified>
</cp:coreProperties>
</file>