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413" w:rsidRPr="00DA6487" w:rsidRDefault="00745413" w:rsidP="00CB2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5413">
        <w:rPr>
          <w:rFonts w:ascii="Times New Roman" w:hAnsi="Times New Roman"/>
          <w:b/>
          <w:bCs/>
          <w:sz w:val="24"/>
          <w:szCs w:val="24"/>
        </w:rPr>
        <w:t xml:space="preserve">Перспективы </w:t>
      </w:r>
      <w:bookmarkStart w:id="0" w:name="_Hlk127282775"/>
      <w:r>
        <w:rPr>
          <w:rFonts w:ascii="Times New Roman" w:hAnsi="Times New Roman"/>
          <w:b/>
          <w:bCs/>
          <w:sz w:val="24"/>
          <w:szCs w:val="24"/>
        </w:rPr>
        <w:t>р</w:t>
      </w:r>
      <w:r w:rsidRPr="00745413">
        <w:rPr>
          <w:rFonts w:ascii="Times New Roman" w:hAnsi="Times New Roman"/>
          <w:b/>
          <w:bCs/>
          <w:sz w:val="24"/>
          <w:szCs w:val="24"/>
        </w:rPr>
        <w:t xml:space="preserve">оссийско-китайского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745413">
        <w:rPr>
          <w:rFonts w:ascii="Times New Roman" w:hAnsi="Times New Roman"/>
          <w:b/>
          <w:bCs/>
          <w:sz w:val="24"/>
          <w:szCs w:val="24"/>
        </w:rPr>
        <w:t xml:space="preserve">отрудничества </w:t>
      </w:r>
      <w:bookmarkEnd w:id="0"/>
      <w:r w:rsidR="00DA6487">
        <w:rPr>
          <w:rFonts w:ascii="Times New Roman" w:hAnsi="Times New Roman"/>
          <w:b/>
          <w:bCs/>
          <w:sz w:val="24"/>
          <w:szCs w:val="24"/>
        </w:rPr>
        <w:t>в контексте Большого Евразийского партнерства</w:t>
      </w:r>
    </w:p>
    <w:p w:rsidR="00AC2147" w:rsidRPr="00256397" w:rsidRDefault="00AC2147" w:rsidP="00CB2A2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56397">
        <w:rPr>
          <w:rFonts w:ascii="Times New Roman" w:hAnsi="Times New Roman"/>
          <w:b/>
          <w:bCs/>
          <w:i/>
          <w:iCs/>
          <w:sz w:val="24"/>
          <w:szCs w:val="24"/>
        </w:rPr>
        <w:t>Данилова Е</w:t>
      </w:r>
      <w:r w:rsidR="00256397">
        <w:rPr>
          <w:rFonts w:ascii="Times New Roman" w:hAnsi="Times New Roman"/>
          <w:b/>
          <w:bCs/>
          <w:i/>
          <w:iCs/>
          <w:sz w:val="24"/>
          <w:szCs w:val="24"/>
        </w:rPr>
        <w:t>лена Андреевна</w:t>
      </w:r>
    </w:p>
    <w:p w:rsidR="00896AAA" w:rsidRDefault="00256397" w:rsidP="00CB2A2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56397">
        <w:rPr>
          <w:rFonts w:ascii="Times New Roman" w:hAnsi="Times New Roman"/>
          <w:i/>
          <w:iCs/>
          <w:sz w:val="24"/>
          <w:szCs w:val="24"/>
        </w:rPr>
        <w:t>А</w:t>
      </w:r>
      <w:r w:rsidR="00AC2147" w:rsidRPr="00256397">
        <w:rPr>
          <w:rFonts w:ascii="Times New Roman" w:hAnsi="Times New Roman"/>
          <w:i/>
          <w:iCs/>
          <w:sz w:val="24"/>
          <w:szCs w:val="24"/>
        </w:rPr>
        <w:t>спирант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A6487" w:rsidRPr="00DA6487"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>-го года обучения</w:t>
      </w:r>
    </w:p>
    <w:p w:rsidR="00256397" w:rsidRDefault="00256397" w:rsidP="00CB2A2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М.В.Ломоносова</w:t>
      </w:r>
      <w:r w:rsidR="00AC2147" w:rsidRPr="00256397">
        <w:rPr>
          <w:rFonts w:ascii="Times New Roman" w:hAnsi="Times New Roman"/>
          <w:i/>
          <w:iCs/>
          <w:sz w:val="24"/>
          <w:szCs w:val="24"/>
        </w:rPr>
        <w:t>,</w:t>
      </w:r>
    </w:p>
    <w:p w:rsidR="00AC2147" w:rsidRPr="00256397" w:rsidRDefault="00AC2147" w:rsidP="00CB2A2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56397">
        <w:rPr>
          <w:rFonts w:ascii="Times New Roman" w:hAnsi="Times New Roman"/>
          <w:i/>
          <w:iCs/>
          <w:sz w:val="24"/>
          <w:szCs w:val="24"/>
        </w:rPr>
        <w:t>Факультет политологии, Москва, Россия</w:t>
      </w:r>
    </w:p>
    <w:p w:rsidR="00AC2147" w:rsidRPr="00256397" w:rsidRDefault="00AC2147" w:rsidP="00CB2A2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56397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256397">
        <w:rPr>
          <w:rFonts w:ascii="Times New Roman" w:hAnsi="Times New Roman"/>
          <w:i/>
          <w:iCs/>
          <w:sz w:val="24"/>
          <w:szCs w:val="24"/>
        </w:rPr>
        <w:t>-</w:t>
      </w:r>
      <w:r w:rsidRPr="00256397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256397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8" w:history="1">
        <w:r w:rsidRPr="00256397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ElenDanilova</w:t>
        </w:r>
        <w:r w:rsidRPr="00256397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Pr="00256397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vivaldi</w:t>
        </w:r>
        <w:r w:rsidRPr="00256397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Pr="00256397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net</w:t>
        </w:r>
      </w:hyperlink>
    </w:p>
    <w:p w:rsidR="0002437E" w:rsidRDefault="0002437E" w:rsidP="00B85C5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>Россия и Китай являются государствами-лидерами на международной арене, формирующими многополярный мир, и имеют собственные внешнеполитические интеграционные проекты (стратегии), направленные на евразийской континент</w:t>
      </w:r>
      <w:r>
        <w:rPr>
          <w:rFonts w:ascii="Times New Roman" w:hAnsi="Times New Roman"/>
          <w:sz w:val="24"/>
          <w:szCs w:val="24"/>
        </w:rPr>
        <w:t>:</w:t>
      </w:r>
    </w:p>
    <w:p w:rsidR="0002437E" w:rsidRPr="0002437E" w:rsidRDefault="0002437E" w:rsidP="0002437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>•</w:t>
      </w:r>
      <w:r w:rsidRPr="0002437E">
        <w:rPr>
          <w:rFonts w:ascii="Times New Roman" w:hAnsi="Times New Roman"/>
          <w:sz w:val="24"/>
          <w:szCs w:val="24"/>
        </w:rPr>
        <w:tab/>
        <w:t xml:space="preserve">Китайская инициатива </w:t>
      </w:r>
      <w:r w:rsidR="00A63876" w:rsidRPr="00A63876">
        <w:rPr>
          <w:rFonts w:ascii="Times New Roman" w:hAnsi="Times New Roman"/>
          <w:sz w:val="24"/>
          <w:szCs w:val="24"/>
        </w:rPr>
        <w:t>"</w:t>
      </w:r>
      <w:r w:rsidRPr="0002437E">
        <w:rPr>
          <w:rFonts w:ascii="Times New Roman" w:hAnsi="Times New Roman"/>
          <w:sz w:val="24"/>
          <w:szCs w:val="24"/>
        </w:rPr>
        <w:t>Один пояс</w:t>
      </w:r>
      <w:r>
        <w:rPr>
          <w:rFonts w:ascii="Times New Roman" w:hAnsi="Times New Roman"/>
          <w:sz w:val="24"/>
          <w:szCs w:val="24"/>
        </w:rPr>
        <w:t>,</w:t>
      </w:r>
      <w:r w:rsidRPr="0002437E">
        <w:rPr>
          <w:rFonts w:ascii="Times New Roman" w:hAnsi="Times New Roman"/>
          <w:sz w:val="24"/>
          <w:szCs w:val="24"/>
        </w:rPr>
        <w:t xml:space="preserve"> один путь</w:t>
      </w:r>
      <w:r w:rsidR="00A63876" w:rsidRPr="00A63876">
        <w:rPr>
          <w:rFonts w:ascii="Times New Roman" w:hAnsi="Times New Roman"/>
          <w:sz w:val="24"/>
          <w:szCs w:val="24"/>
        </w:rPr>
        <w:t>"</w:t>
      </w:r>
      <w:r w:rsidRPr="0002437E">
        <w:rPr>
          <w:rFonts w:ascii="Times New Roman" w:hAnsi="Times New Roman"/>
          <w:sz w:val="24"/>
          <w:szCs w:val="24"/>
        </w:rPr>
        <w:t xml:space="preserve"> (ОПОП), выдвинутая Председателем Китайской Народной Республики Си Цзиньпином в 2013 году;</w:t>
      </w:r>
    </w:p>
    <w:p w:rsidR="0002437E" w:rsidRDefault="0002437E" w:rsidP="0002437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>•</w:t>
      </w:r>
      <w:r w:rsidRPr="0002437E">
        <w:rPr>
          <w:rFonts w:ascii="Times New Roman" w:hAnsi="Times New Roman"/>
          <w:sz w:val="24"/>
          <w:szCs w:val="24"/>
        </w:rPr>
        <w:tab/>
        <w:t>Большое Евразийское партнерство (БЕП) – конкретная, практическая инициатива Президента Российской Федерации В.В.Путина, впервые озвученная более 10 лет назад на Валдайском клубе и выдвинутая в его послании Федеральному собранию в 2015 г. в целях формирования широкого интеграционного контура на евразийском континенте</w:t>
      </w:r>
      <w:r w:rsidR="00A63876" w:rsidRPr="00A63876">
        <w:rPr>
          <w:rFonts w:ascii="Times New Roman" w:hAnsi="Times New Roman"/>
          <w:sz w:val="24"/>
          <w:szCs w:val="24"/>
        </w:rPr>
        <w:t xml:space="preserve"> [</w:t>
      </w:r>
      <w:r w:rsidR="00BD7594" w:rsidRPr="00BD7594">
        <w:rPr>
          <w:rFonts w:ascii="Times New Roman" w:hAnsi="Times New Roman"/>
          <w:sz w:val="24"/>
          <w:szCs w:val="24"/>
        </w:rPr>
        <w:t>4</w:t>
      </w:r>
      <w:r w:rsidR="00A63876" w:rsidRPr="00BD7594">
        <w:rPr>
          <w:rFonts w:ascii="Times New Roman" w:hAnsi="Times New Roman"/>
          <w:sz w:val="24"/>
          <w:szCs w:val="24"/>
        </w:rPr>
        <w:t>]</w:t>
      </w:r>
      <w:r w:rsidRPr="0002437E">
        <w:rPr>
          <w:rFonts w:ascii="Times New Roman" w:hAnsi="Times New Roman"/>
          <w:sz w:val="24"/>
          <w:szCs w:val="24"/>
        </w:rPr>
        <w:t>.</w:t>
      </w:r>
    </w:p>
    <w:p w:rsidR="0002437E" w:rsidRPr="0002437E" w:rsidRDefault="0002437E" w:rsidP="0002437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>Формирование БЕП на евразийском пространстве с Россией в качестве ключевого центра является стержнем обновленной концепции внешней политики России, утвержденной указом президента 31 марта 2023 г. (далее - Концепция)</w:t>
      </w:r>
      <w:r w:rsidR="00A63876">
        <w:rPr>
          <w:rFonts w:ascii="Times New Roman" w:hAnsi="Times New Roman"/>
          <w:sz w:val="24"/>
          <w:szCs w:val="24"/>
        </w:rPr>
        <w:t xml:space="preserve"> </w:t>
      </w:r>
      <w:r w:rsidR="00A63876" w:rsidRPr="00A63876">
        <w:rPr>
          <w:rFonts w:ascii="Times New Roman" w:hAnsi="Times New Roman"/>
          <w:sz w:val="24"/>
          <w:szCs w:val="24"/>
        </w:rPr>
        <w:t>[1]</w:t>
      </w:r>
      <w:r w:rsidRPr="0002437E">
        <w:rPr>
          <w:rFonts w:ascii="Times New Roman" w:hAnsi="Times New Roman"/>
          <w:sz w:val="24"/>
          <w:szCs w:val="24"/>
        </w:rPr>
        <w:t>. Согласно Концепции, Россия стремится к преобразованию Евразии в единое общеконтинентальное пространство мира, стабильности, взаимного доверия, развития и процветания. БЕП опирается на ЕАЭС, ШОС, АСЕАН, сопряжение планов ЕАЭС и ОПОП, а также, сохранение участия всех государств и объединений континента.</w:t>
      </w:r>
    </w:p>
    <w:p w:rsidR="0002437E" w:rsidRPr="0002437E" w:rsidRDefault="0002437E" w:rsidP="0002437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 xml:space="preserve">Во время визита Си Цзыньпина в Москву весной 2023 года, лидеры государств приняли Совместное заявление Президента Российской Федерации и Председателя Китайской Народной Республики о плане развития ключевых направлений российско-китайского экономического сотрудничества до 2030 года, согласно которому стороны подтверждают нацеленность на параллельное и скоординированное формирование Большого Евразийского партнерства и строительство </w:t>
      </w:r>
      <w:r w:rsidR="00A63876" w:rsidRPr="00A63876">
        <w:rPr>
          <w:rFonts w:ascii="Times New Roman" w:hAnsi="Times New Roman"/>
          <w:sz w:val="24"/>
          <w:szCs w:val="24"/>
        </w:rPr>
        <w:t>"</w:t>
      </w:r>
      <w:r w:rsidRPr="0002437E">
        <w:rPr>
          <w:rFonts w:ascii="Times New Roman" w:hAnsi="Times New Roman"/>
          <w:sz w:val="24"/>
          <w:szCs w:val="24"/>
        </w:rPr>
        <w:t>Одного пояса, одного пути</w:t>
      </w:r>
      <w:r w:rsidR="00A63876" w:rsidRPr="00A63876">
        <w:rPr>
          <w:rFonts w:ascii="Times New Roman" w:hAnsi="Times New Roman"/>
          <w:sz w:val="24"/>
          <w:szCs w:val="24"/>
        </w:rPr>
        <w:t>"</w:t>
      </w:r>
      <w:r w:rsidRPr="0002437E">
        <w:rPr>
          <w:rFonts w:ascii="Times New Roman" w:hAnsi="Times New Roman"/>
          <w:sz w:val="24"/>
          <w:szCs w:val="24"/>
        </w:rPr>
        <w:t xml:space="preserve"> в интересах развития двусторонних и многосторонних интеграционных процессов на благо народов евразийского континента </w:t>
      </w:r>
      <w:r w:rsidR="00BD7594" w:rsidRPr="00BD7594">
        <w:rPr>
          <w:rFonts w:ascii="Times New Roman" w:hAnsi="Times New Roman"/>
          <w:sz w:val="24"/>
          <w:szCs w:val="24"/>
        </w:rPr>
        <w:t>[2]</w:t>
      </w:r>
      <w:r w:rsidRPr="0002437E">
        <w:rPr>
          <w:rFonts w:ascii="Times New Roman" w:hAnsi="Times New Roman"/>
          <w:sz w:val="24"/>
          <w:szCs w:val="24"/>
        </w:rPr>
        <w:t>.</w:t>
      </w:r>
    </w:p>
    <w:p w:rsidR="00B85C51" w:rsidRDefault="0002437E" w:rsidP="00F6371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>Вместе с тем, параллельное развитие самостоятельных проектов на евразийском пространстве предполагает их пересечение, наложение друг на друга, допускает поглощение одного проекта другим.</w:t>
      </w:r>
      <w:r>
        <w:rPr>
          <w:rFonts w:ascii="Times New Roman" w:hAnsi="Times New Roman"/>
          <w:sz w:val="24"/>
          <w:szCs w:val="24"/>
        </w:rPr>
        <w:t xml:space="preserve"> Данный аспект может служить сдерживающим фактором, вызыват</w:t>
      </w:r>
      <w:r w:rsidR="00F63714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опасения</w:t>
      </w:r>
      <w:r w:rsidR="00F63714">
        <w:rPr>
          <w:rFonts w:ascii="Times New Roman" w:hAnsi="Times New Roman"/>
          <w:sz w:val="24"/>
          <w:szCs w:val="24"/>
        </w:rPr>
        <w:t xml:space="preserve">, тормозящие развитие партнерства по линии РФ-КНР. По наблюдениям автора, </w:t>
      </w:r>
      <w:r w:rsidR="00F63714" w:rsidRPr="00F63714">
        <w:rPr>
          <w:rFonts w:ascii="Times New Roman" w:hAnsi="Times New Roman"/>
          <w:sz w:val="24"/>
          <w:szCs w:val="24"/>
        </w:rPr>
        <w:t>политический алармизм превалирует над коммерческим реализмом, снять который можно углубляясь в понимание управленческой и политической логики Китая.</w:t>
      </w:r>
      <w:r w:rsidR="00F63714">
        <w:rPr>
          <w:rFonts w:ascii="Times New Roman" w:hAnsi="Times New Roman"/>
          <w:sz w:val="24"/>
          <w:szCs w:val="24"/>
        </w:rPr>
        <w:t xml:space="preserve"> </w:t>
      </w:r>
    </w:p>
    <w:p w:rsidR="0002437E" w:rsidRDefault="00B85C51" w:rsidP="00F6371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B85C51">
        <w:rPr>
          <w:rFonts w:ascii="Times New Roman" w:hAnsi="Times New Roman"/>
          <w:sz w:val="24"/>
          <w:szCs w:val="24"/>
        </w:rPr>
        <w:t>Согласно Закону о внешних сношениях Китайской Народной Республики, принятому на третьем заседании Постоянного комитета Всекитайского собрания народных представителей 14-го созыва 28 июня 2023 г., Китайская Народная Республика настаивает на содействии качественному развитию инициативы “Один пояс, один путь”, которая стремится поддерживать многостороннюю торговую систему, выступает против унилатерализма и протекционизма и работает над построением открытой глобальной экономики (статья 26)</w:t>
      </w:r>
      <w:r w:rsidR="00BD7594" w:rsidRPr="00BD7594">
        <w:rPr>
          <w:rFonts w:ascii="Times New Roman" w:hAnsi="Times New Roman"/>
          <w:sz w:val="24"/>
          <w:szCs w:val="24"/>
        </w:rPr>
        <w:t xml:space="preserve"> [5]</w:t>
      </w:r>
      <w:r w:rsidRPr="00B85C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714">
        <w:rPr>
          <w:rFonts w:ascii="Times New Roman" w:hAnsi="Times New Roman"/>
          <w:sz w:val="24"/>
          <w:szCs w:val="24"/>
        </w:rPr>
        <w:t>К</w:t>
      </w:r>
      <w:r w:rsidR="00F63714" w:rsidRPr="00F63714">
        <w:rPr>
          <w:rFonts w:ascii="Times New Roman" w:hAnsi="Times New Roman"/>
          <w:sz w:val="24"/>
          <w:szCs w:val="24"/>
        </w:rPr>
        <w:t>итайские идеи лидерства в мире предполагают роль ведущего, впередиидущего, имеющего преимущество, поддерживающего развитие других стран, но не навязывающего свои паттерны развития другим и не допускающего в отношении себя директив. Повысить понимание этого феномена и стимулировать стратегический потенциал российско-китайского партнерства позволяет практика китайской стратегической игры Го (вэйцы). Игра позволяет научиться понимать логику внешней политики Китая.</w:t>
      </w:r>
    </w:p>
    <w:p w:rsidR="00F63714" w:rsidRDefault="00F63714" w:rsidP="00F6371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</w:t>
      </w:r>
      <w:r w:rsidRPr="00F63714">
        <w:rPr>
          <w:rFonts w:ascii="Times New Roman" w:hAnsi="Times New Roman"/>
          <w:sz w:val="24"/>
          <w:szCs w:val="24"/>
        </w:rPr>
        <w:t>ще од</w:t>
      </w:r>
      <w:r>
        <w:rPr>
          <w:rFonts w:ascii="Times New Roman" w:hAnsi="Times New Roman"/>
          <w:sz w:val="24"/>
          <w:szCs w:val="24"/>
        </w:rPr>
        <w:t>и</w:t>
      </w:r>
      <w:r w:rsidRPr="00F63714">
        <w:rPr>
          <w:rFonts w:ascii="Times New Roman" w:hAnsi="Times New Roman"/>
          <w:sz w:val="24"/>
          <w:szCs w:val="24"/>
        </w:rPr>
        <w:t>н фактор</w:t>
      </w:r>
      <w:r>
        <w:rPr>
          <w:rFonts w:ascii="Times New Roman" w:hAnsi="Times New Roman"/>
          <w:sz w:val="24"/>
          <w:szCs w:val="24"/>
        </w:rPr>
        <w:t xml:space="preserve"> сдерживания</w:t>
      </w:r>
      <w:r w:rsidRPr="00F63714">
        <w:rPr>
          <w:rFonts w:ascii="Times New Roman" w:hAnsi="Times New Roman"/>
          <w:sz w:val="24"/>
          <w:szCs w:val="24"/>
        </w:rPr>
        <w:t xml:space="preserve"> – методологические подходы к реализации замысла представителями исполнительной власти.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3714">
        <w:rPr>
          <w:rFonts w:ascii="Times New Roman" w:hAnsi="Times New Roman"/>
          <w:sz w:val="24"/>
          <w:szCs w:val="24"/>
        </w:rPr>
        <w:t>Проекты БЕП и ОПОП сформированы не в конкретных количественных характеристиках, а в форме образа будущего результата (“образ-цель”), что характерно для сферы международных отношений. Методология работы государственного аппарата обычно предполагает разработку государственной программы. Взаимодействие разработчиков программы (специалистов), как правило сводится к “размежеванию” участков работы (подведомственность, сфера компетенций), нежели к “мозговому штурму”, способному внести синергический эффект в заложенную цель.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3714" w:rsidRDefault="00F63714" w:rsidP="00F6371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63714">
        <w:rPr>
          <w:rFonts w:ascii="Times New Roman" w:hAnsi="Times New Roman"/>
          <w:sz w:val="24"/>
          <w:szCs w:val="24"/>
        </w:rPr>
        <w:t>В 2019 году впервые были выработаны методические рекомендации применения гибких (Agile) подходов в проектном управлении органов государственной власти</w:t>
      </w:r>
      <w:r w:rsidR="00BD7594" w:rsidRPr="00BD7594">
        <w:rPr>
          <w:rFonts w:ascii="Times New Roman" w:hAnsi="Times New Roman"/>
          <w:sz w:val="24"/>
          <w:szCs w:val="24"/>
        </w:rPr>
        <w:t xml:space="preserve"> [3</w:t>
      </w:r>
      <w:r w:rsidR="00BD7594" w:rsidRPr="00D40F1D">
        <w:rPr>
          <w:rFonts w:ascii="Times New Roman" w:hAnsi="Times New Roman"/>
          <w:sz w:val="24"/>
          <w:szCs w:val="24"/>
        </w:rPr>
        <w:t>]</w:t>
      </w:r>
      <w:r w:rsidRPr="00F63714">
        <w:rPr>
          <w:rFonts w:ascii="Times New Roman" w:hAnsi="Times New Roman"/>
          <w:sz w:val="24"/>
          <w:szCs w:val="24"/>
        </w:rPr>
        <w:t>. Основные четыре ценности манифеста Agile: люди и их взаимодействие важнее процессов и инструментов; работающий продукт важнее исчерпывающей документации; сотрудничество с заказчиком важнее согласований условий контракта; готовность к изменениям важнее, чем следование плану.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3714">
        <w:rPr>
          <w:rFonts w:ascii="Times New Roman" w:hAnsi="Times New Roman"/>
          <w:sz w:val="24"/>
          <w:szCs w:val="24"/>
        </w:rPr>
        <w:t>Таким образом, автор видит применимость данных гибких подходов к реализации скоординированного формирования Большого евразийского партнерства и китайской инициативы “Один пояс – один путь” в рамках мероприятий по созданию нового уникального результата и в целях непрерывного развития проекта, что так же солидарно с принципом ad hoc, уже использующимся в международных проектах.</w:t>
      </w:r>
    </w:p>
    <w:p w:rsidR="0002437E" w:rsidRPr="0002437E" w:rsidRDefault="0002437E" w:rsidP="00F6371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437E">
        <w:rPr>
          <w:rFonts w:ascii="Times New Roman" w:hAnsi="Times New Roman"/>
          <w:sz w:val="24"/>
          <w:szCs w:val="24"/>
        </w:rPr>
        <w:t>Взаимодействие РФ-КНР долгие году будет определяющим, целесообразно реализовывать потенциал сотрудничества и в других перспективных направлениях развития.</w:t>
      </w:r>
      <w:r w:rsidR="00F63714">
        <w:rPr>
          <w:rFonts w:ascii="Times New Roman" w:hAnsi="Times New Roman"/>
          <w:sz w:val="24"/>
          <w:szCs w:val="24"/>
        </w:rPr>
        <w:t xml:space="preserve"> </w:t>
      </w:r>
      <w:r w:rsidR="00F63714" w:rsidRPr="00F63714">
        <w:rPr>
          <w:rFonts w:ascii="Times New Roman" w:hAnsi="Times New Roman"/>
          <w:sz w:val="24"/>
          <w:szCs w:val="24"/>
        </w:rPr>
        <w:t>Используя agile-подход автор считает целесообразным сосредоточиться на выявлении конкретных "точек сопряжения", способных стать драйверами развития и обеспечить относительно быстрые результаты кооперации. Перспективными направлениями для выбора "точек сопряжения" являются сферы цифровой экономики, искусственного интеллекта и экологии. Каждое из выделенных направлений ориентировано в будущее, что является устойчивой созидательной канвой для партнерства.</w:t>
      </w:r>
    </w:p>
    <w:p w:rsidR="00256397" w:rsidRPr="001977A6" w:rsidRDefault="00256397" w:rsidP="00CB2A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977A6">
        <w:rPr>
          <w:rFonts w:ascii="Times New Roman" w:eastAsia="Times New Roman" w:hAnsi="Times New Roman"/>
          <w:b/>
          <w:color w:val="000000"/>
          <w:sz w:val="24"/>
          <w:szCs w:val="24"/>
        </w:rPr>
        <w:t>Источники и литература</w:t>
      </w:r>
    </w:p>
    <w:p w:rsidR="00F63714" w:rsidRPr="00F63714" w:rsidRDefault="00F63714" w:rsidP="00F6371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F63714">
        <w:rPr>
          <w:rFonts w:ascii="Times New Roman" w:eastAsia="Times New Roman" w:hAnsi="Times New Roman"/>
          <w:color w:val="000000"/>
          <w:sz w:val="24"/>
          <w:szCs w:val="24"/>
        </w:rPr>
        <w:t>Указ об утверждении Концепции внешней политики Российской Федерации // URL :</w:t>
      </w:r>
      <w:r w:rsidRPr="00F6371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F63714">
          <w:rPr>
            <w:rStyle w:val="a3"/>
            <w:rFonts w:ascii="Times New Roman" w:hAnsi="Times New Roman"/>
            <w:sz w:val="24"/>
            <w:szCs w:val="24"/>
          </w:rPr>
          <w:t>http://kremlin.ru/catalog/keywords/82/events/70811</w:t>
        </w:r>
      </w:hyperlink>
    </w:p>
    <w:p w:rsidR="00B61E8B" w:rsidRDefault="00F63714" w:rsidP="00B61E8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63714">
        <w:rPr>
          <w:rFonts w:ascii="Times New Roman" w:eastAsia="Times New Roman" w:hAnsi="Times New Roman"/>
          <w:color w:val="000000"/>
          <w:sz w:val="24"/>
          <w:szCs w:val="24"/>
        </w:rPr>
        <w:t xml:space="preserve">Совместное заявление Президента Российской Федерации и Председателя Китайской Народной Республики о плане развития ключевых направлений российско китайского экономического сотрудничества до 2030 года // URL : </w:t>
      </w:r>
      <w:hyperlink r:id="rId10" w:history="1">
        <w:r w:rsidRPr="00B035B2">
          <w:rPr>
            <w:rStyle w:val="a3"/>
            <w:rFonts w:ascii="Times New Roman" w:eastAsia="Times New Roman" w:hAnsi="Times New Roman"/>
            <w:sz w:val="24"/>
            <w:szCs w:val="24"/>
          </w:rPr>
          <w:t>http://kremlin.ru/supplement/5920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85C51" w:rsidRPr="00B85C51" w:rsidRDefault="00B85C51" w:rsidP="00B85C51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85C51">
        <w:rPr>
          <w:rFonts w:ascii="Times New Roman" w:eastAsia="Times New Roman" w:hAnsi="Times New Roman"/>
          <w:color w:val="000000"/>
          <w:sz w:val="24"/>
          <w:szCs w:val="24"/>
        </w:rPr>
        <w:t>Навигатор цифровой трансформации: Agile-подход в государственном управлении: электронное издание / под ред. Е. Г. Потаповой. — М.: РАНХиГС, 2019. — 162 с.</w:t>
      </w:r>
    </w:p>
    <w:p w:rsidR="00B85C51" w:rsidRPr="00F63714" w:rsidRDefault="00B85C51" w:rsidP="00B85C51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3714">
        <w:rPr>
          <w:rFonts w:ascii="Times New Roman" w:eastAsia="Times New Roman" w:hAnsi="Times New Roman"/>
          <w:color w:val="000000"/>
          <w:sz w:val="24"/>
          <w:szCs w:val="24"/>
        </w:rPr>
        <w:t xml:space="preserve">О российской инициативе Большого Евразийского партнерства // Официальный сайт МИД РФ: </w:t>
      </w:r>
      <w:hyperlink r:id="rId11" w:history="1">
        <w:r w:rsidRPr="00B035B2">
          <w:rPr>
            <w:rStyle w:val="a3"/>
            <w:rFonts w:ascii="Times New Roman" w:eastAsia="Times New Roman" w:hAnsi="Times New Roman"/>
            <w:sz w:val="24"/>
            <w:szCs w:val="24"/>
          </w:rPr>
          <w:t>https://www.mid.ru/ru/activity/coordinating_and_advisory_body/head_of_subjects_council/materialy-o-vypolnenii-rekomendacij-zasedanij-sgs/xxxvi-zasedanie-sgs/1767070/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63714">
        <w:rPr>
          <w:rFonts w:ascii="Times New Roman" w:eastAsia="Times New Roman" w:hAnsi="Times New Roman"/>
          <w:color w:val="000000"/>
          <w:sz w:val="24"/>
          <w:szCs w:val="24"/>
        </w:rPr>
        <w:t>, дата создания запроса: 06.02.2024</w:t>
      </w:r>
    </w:p>
    <w:p w:rsidR="00F63714" w:rsidRPr="00B61E8B" w:rsidRDefault="00B85C51" w:rsidP="00B61E8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5C51">
        <w:rPr>
          <w:rFonts w:ascii="SimSun" w:eastAsia="SimSun" w:hAnsi="SimSun" w:cs="SimSun" w:hint="eastAsia"/>
          <w:color w:val="000000"/>
          <w:sz w:val="24"/>
          <w:szCs w:val="24"/>
        </w:rPr>
        <w:t>中华人民共和国对外关系法</w:t>
      </w:r>
      <w:r w:rsidRPr="00B85C51">
        <w:rPr>
          <w:rFonts w:ascii="Times New Roman" w:eastAsia="Times New Roman" w:hAnsi="Times New Roman"/>
          <w:color w:val="000000"/>
          <w:sz w:val="24"/>
          <w:szCs w:val="24"/>
        </w:rPr>
        <w:t xml:space="preserve"> // Официальный сайт МИД КРН. URL: https://www.mfa.gov.cn/web/wjb_673085/zfxxgk_674865/zcfg/fl/202306/t20230628_11105189.shtml , дата создания запроса: 06.02.2024</w:t>
      </w:r>
    </w:p>
    <w:sectPr w:rsidR="00F63714" w:rsidRPr="00B61E8B" w:rsidSect="000A0A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13C" w:rsidRDefault="0017313C" w:rsidP="00872CA5">
      <w:pPr>
        <w:spacing w:after="0" w:line="240" w:lineRule="auto"/>
      </w:pPr>
      <w:r>
        <w:separator/>
      </w:r>
    </w:p>
  </w:endnote>
  <w:endnote w:type="continuationSeparator" w:id="0">
    <w:p w:rsidR="0017313C" w:rsidRDefault="0017313C" w:rsidP="0087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13C" w:rsidRDefault="0017313C" w:rsidP="00872CA5">
      <w:pPr>
        <w:spacing w:after="0" w:line="240" w:lineRule="auto"/>
      </w:pPr>
      <w:r>
        <w:separator/>
      </w:r>
    </w:p>
  </w:footnote>
  <w:footnote w:type="continuationSeparator" w:id="0">
    <w:p w:rsidR="0017313C" w:rsidRDefault="0017313C" w:rsidP="0087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28E"/>
    <w:multiLevelType w:val="hybridMultilevel"/>
    <w:tmpl w:val="E51E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953"/>
    <w:multiLevelType w:val="hybridMultilevel"/>
    <w:tmpl w:val="77B82CA8"/>
    <w:lvl w:ilvl="0" w:tplc="FBFEE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F2B7C"/>
    <w:multiLevelType w:val="hybridMultilevel"/>
    <w:tmpl w:val="D416C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830AE0"/>
    <w:multiLevelType w:val="hybridMultilevel"/>
    <w:tmpl w:val="A8264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D2118"/>
    <w:multiLevelType w:val="hybridMultilevel"/>
    <w:tmpl w:val="BE9A8D1C"/>
    <w:lvl w:ilvl="0" w:tplc="FFFFFFF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D372982"/>
    <w:multiLevelType w:val="hybridMultilevel"/>
    <w:tmpl w:val="D686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8B4"/>
    <w:multiLevelType w:val="hybridMultilevel"/>
    <w:tmpl w:val="07AC91AA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5533225">
    <w:abstractNumId w:val="1"/>
  </w:num>
  <w:num w:numId="2" w16cid:durableId="25327665">
    <w:abstractNumId w:val="2"/>
  </w:num>
  <w:num w:numId="3" w16cid:durableId="933586153">
    <w:abstractNumId w:val="6"/>
  </w:num>
  <w:num w:numId="4" w16cid:durableId="389233855">
    <w:abstractNumId w:val="0"/>
  </w:num>
  <w:num w:numId="5" w16cid:durableId="529072325">
    <w:abstractNumId w:val="5"/>
  </w:num>
  <w:num w:numId="6" w16cid:durableId="1194197956">
    <w:abstractNumId w:val="3"/>
  </w:num>
  <w:num w:numId="7" w16cid:durableId="866986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0"/>
    <w:rsid w:val="00001F26"/>
    <w:rsid w:val="00014927"/>
    <w:rsid w:val="0002437E"/>
    <w:rsid w:val="00085FC7"/>
    <w:rsid w:val="000A0A90"/>
    <w:rsid w:val="000A4BC8"/>
    <w:rsid w:val="00110593"/>
    <w:rsid w:val="00114B28"/>
    <w:rsid w:val="00120D8F"/>
    <w:rsid w:val="00154C82"/>
    <w:rsid w:val="00155346"/>
    <w:rsid w:val="0017313C"/>
    <w:rsid w:val="001977A6"/>
    <w:rsid w:val="00222B48"/>
    <w:rsid w:val="00256397"/>
    <w:rsid w:val="00260847"/>
    <w:rsid w:val="00284F0D"/>
    <w:rsid w:val="002F0CEE"/>
    <w:rsid w:val="003B7B12"/>
    <w:rsid w:val="004E4B0E"/>
    <w:rsid w:val="005A5C71"/>
    <w:rsid w:val="005E55E0"/>
    <w:rsid w:val="006D5181"/>
    <w:rsid w:val="00707A31"/>
    <w:rsid w:val="00745413"/>
    <w:rsid w:val="007850B3"/>
    <w:rsid w:val="007964BF"/>
    <w:rsid w:val="007B2862"/>
    <w:rsid w:val="007B42C6"/>
    <w:rsid w:val="0081794D"/>
    <w:rsid w:val="00834F82"/>
    <w:rsid w:val="00872CA5"/>
    <w:rsid w:val="00896AAA"/>
    <w:rsid w:val="008A172B"/>
    <w:rsid w:val="00930355"/>
    <w:rsid w:val="0094145C"/>
    <w:rsid w:val="00944E6E"/>
    <w:rsid w:val="0094709E"/>
    <w:rsid w:val="00967AF8"/>
    <w:rsid w:val="00977EB3"/>
    <w:rsid w:val="00983C56"/>
    <w:rsid w:val="00997B51"/>
    <w:rsid w:val="009B067D"/>
    <w:rsid w:val="00A63876"/>
    <w:rsid w:val="00A750AC"/>
    <w:rsid w:val="00AA043E"/>
    <w:rsid w:val="00AC2147"/>
    <w:rsid w:val="00AD3C9F"/>
    <w:rsid w:val="00B2422A"/>
    <w:rsid w:val="00B61E8B"/>
    <w:rsid w:val="00B70BCC"/>
    <w:rsid w:val="00B85C51"/>
    <w:rsid w:val="00BA0B34"/>
    <w:rsid w:val="00BA5181"/>
    <w:rsid w:val="00BD7594"/>
    <w:rsid w:val="00BF6B53"/>
    <w:rsid w:val="00C07156"/>
    <w:rsid w:val="00C36A72"/>
    <w:rsid w:val="00C9334A"/>
    <w:rsid w:val="00CA09D3"/>
    <w:rsid w:val="00CB2A2E"/>
    <w:rsid w:val="00CC4323"/>
    <w:rsid w:val="00D40F1D"/>
    <w:rsid w:val="00D70FEE"/>
    <w:rsid w:val="00DA0834"/>
    <w:rsid w:val="00DA6487"/>
    <w:rsid w:val="00DC5F77"/>
    <w:rsid w:val="00E53B17"/>
    <w:rsid w:val="00E53C4B"/>
    <w:rsid w:val="00EA4137"/>
    <w:rsid w:val="00EF37C9"/>
    <w:rsid w:val="00F36FD8"/>
    <w:rsid w:val="00F454C1"/>
    <w:rsid w:val="00F63714"/>
    <w:rsid w:val="00F6598F"/>
    <w:rsid w:val="00F86BFD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F844A-AC08-437A-9F80-8DA031AB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2147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AC214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14927"/>
    <w:pPr>
      <w:ind w:left="720"/>
      <w:contextualSpacing/>
    </w:pPr>
  </w:style>
  <w:style w:type="paragraph" w:styleId="a6">
    <w:name w:val="footnote text"/>
    <w:basedOn w:val="a"/>
    <w:link w:val="a7"/>
    <w:unhideWhenUsed/>
    <w:rsid w:val="00872CA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rsid w:val="00872CA5"/>
    <w:rPr>
      <w:sz w:val="20"/>
      <w:szCs w:val="20"/>
    </w:rPr>
  </w:style>
  <w:style w:type="character" w:styleId="a8">
    <w:name w:val="footnote reference"/>
    <w:uiPriority w:val="99"/>
    <w:semiHidden/>
    <w:unhideWhenUsed/>
    <w:rsid w:val="00872CA5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2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uiPriority w:val="99"/>
    <w:semiHidden/>
    <w:unhideWhenUsed/>
    <w:rsid w:val="00222B4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Danilova@vivaldi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d.ru/ru/activity/coordinating_and_advisory_body/head_of_subjects_council/materialy-o-vypolnenii-rekomendacij-zasedanij-sgs/xxxvi-zasedanie-sgs/176707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emlin.ru/supplement/5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mlin.ru/catalog/keywords/82/events/70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E791-D5B8-4389-AB7C-DB453509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Links>
    <vt:vector size="24" baseType="variant"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https://www.mid.ru/ru/activity/coordinating_and_advisory_body/head_of_subjects_council/materialy-o-vypolnenii-rekomendacij-zasedanij-sgs/xxxvi-zasedanie-sgs/1767070/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http://kremlin.ru/supplement/5920</vt:lpwstr>
      </vt:variant>
      <vt:variant>
        <vt:lpwstr/>
      </vt:variant>
      <vt:variant>
        <vt:i4>7012454</vt:i4>
      </vt:variant>
      <vt:variant>
        <vt:i4>3</vt:i4>
      </vt:variant>
      <vt:variant>
        <vt:i4>0</vt:i4>
      </vt:variant>
      <vt:variant>
        <vt:i4>5</vt:i4>
      </vt:variant>
      <vt:variant>
        <vt:lpwstr>http://kremlin.ru/catalog/keywords/82/events/70811</vt:lpwstr>
      </vt:variant>
      <vt:variant>
        <vt:lpwstr/>
      </vt:variant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mailto:ElenDanilova@vivaldi.net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Danilova</dc:creator>
  <cp:keywords/>
  <dc:description/>
  <cp:lastModifiedBy>Elena Danilova</cp:lastModifiedBy>
  <cp:revision>2</cp:revision>
  <dcterms:created xsi:type="dcterms:W3CDTF">2024-02-13T21:11:00Z</dcterms:created>
  <dcterms:modified xsi:type="dcterms:W3CDTF">2024-02-13T21:11:00Z</dcterms:modified>
</cp:coreProperties>
</file>