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Монголо-германские отношения в контексте монгольской политики равноудаленности.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rtl w:val="0"/>
        </w:rPr>
        <w:t xml:space="preserve">Анисимов Алексей Андреевич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76" w:lineRule="auto"/>
        <w:jc w:val="both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Студент магистрант</w:t>
      </w:r>
    </w:p>
    <w:p w:rsidR="00000000" w:rsidDel="00000000" w:rsidP="00000000" w:rsidRDefault="00000000" w:rsidRPr="00000000" w14:paraId="00000006">
      <w:pPr>
        <w:spacing w:after="160" w:line="276" w:lineRule="auto"/>
        <w:jc w:val="both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7">
      <w:pPr>
        <w:spacing w:after="160" w:line="276" w:lineRule="auto"/>
        <w:jc w:val="both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8">
      <w:pPr>
        <w:spacing w:after="16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3"/>
          <w:szCs w:val="23"/>
          <w:rtl w:val="0"/>
        </w:rPr>
        <w:t xml:space="preserve">E–mail: a.pajns@yandex.ru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7 февраля 2024 г. президент Монголии Ухнаагийн Хурэльсух и президент Федеративной республики Германия Франк-Вальтер Штайнмайер подписали договор о стратегическом партнёрстве [4]. Данное внешнпоелитическое событие обозначило новый этап в пятидесятилетней истории отношений между ФРГ и Монголией, к юбилею которых представленный договор и был заключен.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При этом дату, к которой приурочено установление отношений уровня стратегического партнёрства, неправомерно называть юбилеем монголо-германских отношений. За четверть века до 31 января 1974 г. [2, С. 210] (установление дипломатических отношений с ФРГ) дипломатические отношения были установлены между Германской демократической республикой и Монгольской народной республикой 13 апреля 1950 г. [2, С. 204], что действительно можно считать началом монголо-германского сотрудничества в новейшей истории. В данной связи примечателен тот исторический  ориентир, в рамках которого развивается актуальное сотрудничество между демократической Монголией и ФРГ.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Цель представленной работы заключается в определении ключевых тенденций, характерных для периода сотрудничества между ФРГ и Монголией в политической и экономической сферах, с момента заключения договора о всеобъемлющем партнёрстве в 2008 г. [4] Особенность политического статуса договоров, определяющих степень межгосударственного сотрудничества в конкретном случае рассматривается в рамках общей иерархической сети, отражающей степень интенсивности взаимодействия Монголии с конкретным иностранным государством.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качестве ключевых методов, позволяющих определить степень планомерного расширения двустороннего сотрудничества и определить его место в системе монгольской внешней политики выступают сравнительный (прежде всего применительно к текстам договоров от 2008 г. и от 2024 г.) и регрессионный  анализ. В рамках проведённого регрессионного анализа в роли ключевой независимой переменной выступает показатель двустороннего товарооборота (в период с 2008 по 2023 гг.) [2], в качестве зависимой переменной выступает политическая интенсивность рассматриваемого сотрудничества (выражаемая частотой и уровнем заключения договоров и соглашений и совершённых взаимных визитов).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Выводимая корреляция в совокупности со сравнительным анализом по отношению к сотрудничеству Монголии с другими ключевыми внешнеполитическими игроками позволяет определить особенности перспективной политики ФРГ по отношению к Монголии. Особую роль занимает рассмотрение данной политики в рамках концепции национальной безопасности Монголии [5] и определения концепта «третьего соседа» [1, С. 278].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В результате исследования делается вывод о структурной характеристике  планомерного расширения двустороннего сотрудничества и причинно-следственной связи между монгольской политикой равноудалённости (воплощённой в концепте «третьего соседа») [3] и корреляцией торгового и политического сотрудничества Монголии и ФРГ как средства включения ФРГ в круг стратегических партнёров (наряду с Японией, Индией, США и РК [1, С. 280]) в противовес всеобъемлющим стратегическим партнёрам (КНР, РФ).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История Монголии.  ХХ век / отв.  ред.  Г.  С.  Яскина.  М.: ИВ РАН, 2007. 448 с.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Родионов В.А. Политический процесс в Монголии в условиях постсоциалистической информации. Улан-Удэ: Изд-во Бурятского университета, 2018.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Гаалийн цахим үйлчилгээний систем = Электронная система услуг таможни // Официальный сайт. URL: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https://gaali.mn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Монгол улсын гадаад бодлогын үзэл баримтлал = Концепция внешей политики Монголии. Улан-Батор, 2011.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Монгол улсын гадаад харилцааны яам = Министерство иностранных дел Монголии // Официальный сайт. URL: https://mfa.gov.mn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Монгол улсын үндэсний аюулгүй байдлын үзэл баримтлал = Концепция национальной безопасности Монголии. Улан-Батор, 2010. 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aali.mn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