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0A5" w:rsidRPr="00171070" w:rsidRDefault="00241E4A">
      <w:pPr>
        <w:pStyle w:val="a6"/>
        <w:spacing w:before="0" w:line="240" w:lineRule="auto"/>
        <w:ind w:firstLine="529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  <w:lang w:val="ru-RU"/>
        </w:rPr>
        <w:t>«</w:t>
      </w:r>
      <w:proofErr w:type="spellStart"/>
      <w:r w:rsidR="00171070" w:rsidRPr="00171070">
        <w:rPr>
          <w:rFonts w:ascii="Times New Roman" w:hAnsi="Times New Roman" w:cs="Times New Roman"/>
          <w:b/>
          <w:bCs/>
        </w:rPr>
        <w:t>Сафавидская</w:t>
      </w:r>
      <w:proofErr w:type="spellEnd"/>
      <w:r w:rsidR="00171070" w:rsidRPr="001710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1070" w:rsidRPr="00171070">
        <w:rPr>
          <w:rFonts w:ascii="Times New Roman" w:hAnsi="Times New Roman" w:cs="Times New Roman"/>
          <w:b/>
          <w:bCs/>
        </w:rPr>
        <w:t>административная</w:t>
      </w:r>
      <w:proofErr w:type="spellEnd"/>
      <w:r w:rsidR="00171070" w:rsidRPr="001710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1070" w:rsidRPr="00171070">
        <w:rPr>
          <w:rFonts w:ascii="Times New Roman" w:hAnsi="Times New Roman" w:cs="Times New Roman"/>
          <w:b/>
          <w:bCs/>
        </w:rPr>
        <w:t>система</w:t>
      </w:r>
      <w:proofErr w:type="spellEnd"/>
      <w:r w:rsidR="00171070" w:rsidRPr="00171070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="00171070" w:rsidRPr="00171070">
        <w:rPr>
          <w:rFonts w:ascii="Times New Roman" w:hAnsi="Times New Roman" w:cs="Times New Roman"/>
          <w:b/>
          <w:bCs/>
        </w:rPr>
        <w:t>царствах</w:t>
      </w:r>
      <w:proofErr w:type="spellEnd"/>
      <w:r w:rsidR="00171070" w:rsidRPr="001710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1070" w:rsidRPr="00171070">
        <w:rPr>
          <w:rFonts w:ascii="Times New Roman" w:hAnsi="Times New Roman" w:cs="Times New Roman"/>
          <w:b/>
          <w:bCs/>
        </w:rPr>
        <w:t>Восточной</w:t>
      </w:r>
      <w:proofErr w:type="spellEnd"/>
      <w:r w:rsidR="00171070" w:rsidRPr="001710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71070" w:rsidRPr="00171070">
        <w:rPr>
          <w:rFonts w:ascii="Times New Roman" w:hAnsi="Times New Roman" w:cs="Times New Roman"/>
          <w:b/>
          <w:bCs/>
        </w:rPr>
        <w:t>Грузии</w:t>
      </w:r>
      <w:proofErr w:type="spellEnd"/>
      <w:r w:rsidRPr="00171070">
        <w:rPr>
          <w:rFonts w:ascii="Times New Roman" w:hAnsi="Times New Roman"/>
          <w:b/>
          <w:bCs/>
          <w:shd w:val="clear" w:color="auto" w:fill="FFFFFF"/>
          <w:lang w:val="it-IT"/>
        </w:rPr>
        <w:t>»</w:t>
      </w:r>
    </w:p>
    <w:p w:rsidR="00CE00A5" w:rsidRDefault="00000000">
      <w:pPr>
        <w:pStyle w:val="a6"/>
        <w:spacing w:before="0" w:line="240" w:lineRule="auto"/>
        <w:ind w:firstLine="529"/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i/>
          <w:iCs/>
          <w:shd w:val="clear" w:color="auto" w:fill="FFFFFF"/>
        </w:rPr>
        <w:t>Хабелова</w:t>
      </w:r>
      <w:proofErr w:type="spellEnd"/>
      <w:r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М. Л.</w:t>
      </w:r>
    </w:p>
    <w:p w:rsidR="00CE00A5" w:rsidRDefault="00171070">
      <w:pPr>
        <w:pStyle w:val="a6"/>
        <w:spacing w:before="0" w:line="240" w:lineRule="auto"/>
        <w:ind w:firstLine="529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  <w:lang w:val="ru-RU"/>
        </w:rPr>
        <w:t>Аспирант кафедры Ближнего и Среднего Востока,</w:t>
      </w:r>
    </w:p>
    <w:p w:rsidR="00CE00A5" w:rsidRDefault="00000000">
      <w:pPr>
        <w:pStyle w:val="a6"/>
        <w:spacing w:before="0" w:line="240" w:lineRule="auto"/>
        <w:ind w:firstLine="529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/>
          <w:iCs/>
          <w:shd w:val="clear" w:color="auto" w:fill="FFFFFF"/>
        </w:rPr>
        <w:t>.В.</w:t>
      </w:r>
      <w:r>
        <w:rPr>
          <w:rFonts w:ascii="Times New Roman" w:hAnsi="Times New Roman"/>
          <w:i/>
          <w:iCs/>
          <w:shd w:val="clear" w:color="auto" w:fill="FFFFFF"/>
          <w:lang w:val="ru-RU"/>
        </w:rPr>
        <w:t>Ломоносова</w:t>
      </w:r>
      <w:r>
        <w:rPr>
          <w:rFonts w:ascii="Times New Roman" w:hAnsi="Times New Roman"/>
          <w:i/>
          <w:iCs/>
          <w:shd w:val="clear" w:color="auto" w:fill="FFFFFF"/>
        </w:rPr>
        <w:t>,</w:t>
      </w:r>
    </w:p>
    <w:p w:rsidR="008C633B" w:rsidRPr="008C633B" w:rsidRDefault="008C633B" w:rsidP="008C633B">
      <w:pPr>
        <w:shd w:val="clear" w:color="auto" w:fill="FFFFFF"/>
        <w:jc w:val="center"/>
        <w:rPr>
          <w:rFonts w:eastAsia="Times New Roman"/>
          <w:color w:val="000000"/>
          <w:lang w:val="ru-RU"/>
        </w:rPr>
      </w:pPr>
      <w:r w:rsidRPr="008C633B">
        <w:rPr>
          <w:rFonts w:eastAsia="Times New Roman"/>
          <w:i/>
          <w:color w:val="000000"/>
          <w:lang w:val="ru-RU"/>
        </w:rPr>
        <w:t>Институт стран Азии и Африки, Москва, Россия</w:t>
      </w:r>
    </w:p>
    <w:p w:rsidR="00CE00A5" w:rsidRDefault="00000000">
      <w:pPr>
        <w:pStyle w:val="a6"/>
        <w:spacing w:before="0" w:line="240" w:lineRule="auto"/>
        <w:ind w:firstLine="529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E–</w:t>
      </w:r>
      <w:proofErr w:type="gramStart"/>
      <w:r>
        <w:rPr>
          <w:rFonts w:ascii="Times New Roman" w:hAnsi="Times New Roman"/>
          <w:i/>
          <w:iCs/>
          <w:shd w:val="clear" w:color="auto" w:fill="FFFFFF"/>
        </w:rPr>
        <w:t>mail:</w:t>
      </w:r>
      <w:proofErr w:type="gramEnd"/>
      <w:r>
        <w:rPr>
          <w:rFonts w:ascii="Times New Roman" w:hAnsi="Times New Roman"/>
          <w:i/>
          <w:iCs/>
          <w:shd w:val="clear" w:color="auto" w:fill="FFFFFF"/>
        </w:rPr>
        <w:t xml:space="preserve"> </w:t>
      </w:r>
      <w:hyperlink r:id="rId8" w:history="1">
        <w:r>
          <w:rPr>
            <w:rStyle w:val="Hyperlink0"/>
            <w:rFonts w:ascii="Times New Roman" w:hAnsi="Times New Roman"/>
            <w:shd w:val="clear" w:color="auto" w:fill="FFFFFF"/>
          </w:rPr>
          <w:t>mkhabelova@gmail.com</w:t>
        </w:r>
      </w:hyperlink>
    </w:p>
    <w:p w:rsidR="00241E4A" w:rsidRPr="00241E4A" w:rsidRDefault="00D86E0F" w:rsidP="00241E4A">
      <w:pPr>
        <w:rPr>
          <w:lang w:val="ru-RU"/>
        </w:rPr>
      </w:pPr>
      <w:r w:rsidRPr="00241E4A">
        <w:rPr>
          <w:lang w:val="ru-RU"/>
        </w:rPr>
        <w:t xml:space="preserve">Ирано-грузинские взаимоотношения насчитывают многовековую историю, уходящую корнями в древность. </w:t>
      </w:r>
      <w:r w:rsidRPr="00C52D99">
        <w:rPr>
          <w:lang w:val="ru-RU"/>
        </w:rPr>
        <w:t xml:space="preserve">Иранское присутствие помогло сформировать политические институты, изменило социальную структуру, а также обогатило грузинскую литературу и культуру. </w:t>
      </w:r>
      <w:r w:rsidRPr="00AB1EE0">
        <w:rPr>
          <w:lang w:val="ru-RU"/>
        </w:rPr>
        <w:t>Одн</w:t>
      </w:r>
      <w:r w:rsidR="00AB1EE0">
        <w:rPr>
          <w:lang w:val="ru-RU"/>
        </w:rPr>
        <w:t>а</w:t>
      </w:r>
      <w:r w:rsidRPr="00AB1EE0">
        <w:rPr>
          <w:lang w:val="ru-RU"/>
        </w:rPr>
        <w:t xml:space="preserve"> из наиболее важных глав в истории изучения двусторонних отношений связана с приходом к власти династии </w:t>
      </w:r>
      <w:proofErr w:type="spellStart"/>
      <w:r w:rsidRPr="00AB1EE0">
        <w:rPr>
          <w:lang w:val="ru-RU"/>
        </w:rPr>
        <w:t>Сафавидов</w:t>
      </w:r>
      <w:proofErr w:type="spellEnd"/>
      <w:r w:rsidRPr="00AB1EE0">
        <w:rPr>
          <w:lang w:val="ru-RU"/>
        </w:rPr>
        <w:t xml:space="preserve"> (1501-1722), которая заявила свои права на Восточную Грузию, имевшую стратегическое значение для утверждения позиций на Южном Кавказе. </w:t>
      </w:r>
      <w:r w:rsidRPr="00241E4A">
        <w:rPr>
          <w:lang w:val="ru-RU"/>
        </w:rPr>
        <w:t xml:space="preserve">Проводя активную экспансионистскую политику, </w:t>
      </w:r>
      <w:proofErr w:type="spellStart"/>
      <w:r w:rsidRPr="00241E4A">
        <w:rPr>
          <w:lang w:val="ru-RU"/>
        </w:rPr>
        <w:t>сафавидские</w:t>
      </w:r>
      <w:proofErr w:type="spellEnd"/>
      <w:r w:rsidRPr="00241E4A">
        <w:rPr>
          <w:lang w:val="ru-RU"/>
        </w:rPr>
        <w:t xml:space="preserve"> шахи установили господство над грузинскими землями.</w:t>
      </w:r>
    </w:p>
    <w:p w:rsidR="00C52D99" w:rsidRPr="00C52D99" w:rsidRDefault="00793076" w:rsidP="00C52D99">
      <w:pPr>
        <w:rPr>
          <w:lang w:val="ru-RU"/>
        </w:rPr>
      </w:pPr>
      <w:r w:rsidRPr="006E58E1">
        <w:rPr>
          <w:lang w:val="ru-RU"/>
        </w:rPr>
        <w:t xml:space="preserve">Грузино-персидские исторические документы динамично описывают политические, социальные и религиозные процессы, происходившие в Восточной Грузии в </w:t>
      </w:r>
      <w:r w:rsidRPr="006E58E1">
        <w:t>XVI</w:t>
      </w:r>
      <w:r w:rsidRPr="006E58E1">
        <w:rPr>
          <w:lang w:val="ru-RU"/>
        </w:rPr>
        <w:t>-</w:t>
      </w:r>
      <w:r w:rsidRPr="006E58E1">
        <w:t>XVII</w:t>
      </w:r>
      <w:r w:rsidR="003C09B8">
        <w:t>I</w:t>
      </w:r>
      <w:r w:rsidRPr="006E58E1">
        <w:rPr>
          <w:lang w:val="ru-RU"/>
        </w:rPr>
        <w:t xml:space="preserve"> вв. </w:t>
      </w:r>
      <w:r w:rsidR="002704E8" w:rsidRPr="002704E8">
        <w:rPr>
          <w:rFonts w:eastAsia="Times New Roman"/>
          <w:lang w:val="ru-RU" w:eastAsia="ru-RU"/>
        </w:rPr>
        <w:t xml:space="preserve">В </w:t>
      </w:r>
      <w:r w:rsidR="002704E8">
        <w:rPr>
          <w:rFonts w:eastAsia="Times New Roman"/>
          <w:lang w:val="ru-RU" w:eastAsia="ru-RU"/>
        </w:rPr>
        <w:t xml:space="preserve">исследовании </w:t>
      </w:r>
      <w:r w:rsidR="002704E8" w:rsidRPr="002704E8">
        <w:rPr>
          <w:rFonts w:eastAsia="Times New Roman"/>
          <w:lang w:val="ru-RU" w:eastAsia="ru-RU"/>
        </w:rPr>
        <w:t>был</w:t>
      </w:r>
      <w:r w:rsidR="002704E8">
        <w:rPr>
          <w:rFonts w:eastAsia="Times New Roman"/>
          <w:lang w:val="ru-RU" w:eastAsia="ru-RU"/>
        </w:rPr>
        <w:t>и</w:t>
      </w:r>
      <w:r w:rsidR="002704E8" w:rsidRPr="002704E8">
        <w:rPr>
          <w:rFonts w:eastAsia="Times New Roman"/>
          <w:lang w:val="ru-RU" w:eastAsia="ru-RU"/>
        </w:rPr>
        <w:t xml:space="preserve"> применен</w:t>
      </w:r>
      <w:r w:rsidR="002704E8">
        <w:rPr>
          <w:rFonts w:eastAsia="Times New Roman"/>
          <w:lang w:val="ru-RU" w:eastAsia="ru-RU"/>
        </w:rPr>
        <w:t>ы</w:t>
      </w:r>
      <w:r w:rsidR="002704E8" w:rsidRPr="002704E8">
        <w:rPr>
          <w:rFonts w:eastAsia="Times New Roman"/>
          <w:lang w:val="ru-RU" w:eastAsia="ru-RU"/>
        </w:rPr>
        <w:t xml:space="preserve"> сравнительно-исторический и проблемно-хронологический методы.</w:t>
      </w:r>
      <w:r w:rsidR="002704E8">
        <w:rPr>
          <w:lang w:val="ru-RU"/>
        </w:rPr>
        <w:t xml:space="preserve"> Изучение </w:t>
      </w:r>
      <w:r w:rsidRPr="006E58E1">
        <w:rPr>
          <w:lang w:val="ru-RU"/>
        </w:rPr>
        <w:t xml:space="preserve">грузино-персидских исторических документов указанного периода приводит к тщательному </w:t>
      </w:r>
      <w:r w:rsidR="002704E8">
        <w:rPr>
          <w:lang w:val="ru-RU"/>
        </w:rPr>
        <w:t xml:space="preserve">погружение в </w:t>
      </w:r>
      <w:r w:rsidRPr="006E58E1">
        <w:rPr>
          <w:lang w:val="ru-RU"/>
        </w:rPr>
        <w:t>многогранн</w:t>
      </w:r>
      <w:r w:rsidR="002704E8">
        <w:rPr>
          <w:lang w:val="ru-RU"/>
        </w:rPr>
        <w:t>ую историю</w:t>
      </w:r>
      <w:r w:rsidRPr="006E58E1">
        <w:rPr>
          <w:lang w:val="ru-RU"/>
        </w:rPr>
        <w:t xml:space="preserve"> ирано-грузинских взаимоотношений.</w:t>
      </w:r>
      <w:r w:rsidRPr="006E58E1">
        <w:rPr>
          <w:lang w:val="ru-RU" w:eastAsia="ru-RU"/>
        </w:rPr>
        <w:t xml:space="preserve"> </w:t>
      </w:r>
      <w:r w:rsidRPr="006E58E1">
        <w:rPr>
          <w:lang w:val="ru-RU"/>
        </w:rPr>
        <w:t xml:space="preserve">Фирманы сафавидских правителей содержат информацию о социальных, административных и государственных институтах, </w:t>
      </w:r>
      <w:r w:rsidRPr="006E58E1">
        <w:rPr>
          <w:lang w:val="ru-RU" w:eastAsia="ru-RU"/>
        </w:rPr>
        <w:t>положении населения и шиитской общине</w:t>
      </w:r>
      <w:r w:rsidRPr="006E58E1">
        <w:rPr>
          <w:lang w:val="ru-RU"/>
        </w:rPr>
        <w:t>.</w:t>
      </w:r>
    </w:p>
    <w:p w:rsidR="00C52D99" w:rsidRPr="00C52D99" w:rsidRDefault="00793076" w:rsidP="00C52D99">
      <w:pPr>
        <w:rPr>
          <w:lang w:val="ru-RU"/>
        </w:rPr>
      </w:pPr>
      <w:r w:rsidRPr="006E58E1">
        <w:rPr>
          <w:lang w:val="ru-RU"/>
        </w:rPr>
        <w:t xml:space="preserve">Подчинение </w:t>
      </w:r>
      <w:r w:rsidR="009C07FD" w:rsidRPr="006E58E1">
        <w:rPr>
          <w:lang w:val="ru-RU"/>
        </w:rPr>
        <w:t xml:space="preserve">царя Картли </w:t>
      </w:r>
      <w:r w:rsidRPr="006E58E1">
        <w:rPr>
          <w:lang w:val="ru-RU"/>
        </w:rPr>
        <w:t xml:space="preserve">Симона </w:t>
      </w:r>
      <w:r w:rsidRPr="006E58E1">
        <w:t>I</w:t>
      </w:r>
      <w:r w:rsidRPr="006E58E1">
        <w:rPr>
          <w:lang w:val="ru-RU"/>
        </w:rPr>
        <w:t xml:space="preserve"> </w:t>
      </w:r>
      <w:r w:rsidR="009C07FD" w:rsidRPr="006E58E1">
        <w:rPr>
          <w:lang w:val="ru-RU" w:eastAsia="ru-RU"/>
        </w:rPr>
        <w:t>(1556-1601 гг.)</w:t>
      </w:r>
      <w:r w:rsidR="009C07FD" w:rsidRPr="006E58E1">
        <w:rPr>
          <w:lang w:val="ru-RU"/>
        </w:rPr>
        <w:t xml:space="preserve"> </w:t>
      </w:r>
      <w:r w:rsidR="008E2204" w:rsidRPr="006E58E1">
        <w:rPr>
          <w:lang w:val="ru-RU"/>
        </w:rPr>
        <w:t xml:space="preserve">Ирану </w:t>
      </w:r>
      <w:r w:rsidRPr="006E58E1">
        <w:rPr>
          <w:lang w:val="ru-RU"/>
        </w:rPr>
        <w:t xml:space="preserve">отразилось и на работе царского дивана </w:t>
      </w:r>
      <w:r w:rsidRPr="006E58E1">
        <w:t>XVI</w:t>
      </w:r>
      <w:r w:rsidRPr="006E58E1">
        <w:rPr>
          <w:lang w:val="ru-RU"/>
        </w:rPr>
        <w:t xml:space="preserve"> в. С 80-х годов началось насаждение кызылбашских порядков в Картли, ярким примером чего стало появление грузино-персидских</w:t>
      </w:r>
      <w:r w:rsidR="008C259A" w:rsidRPr="006E58E1">
        <w:rPr>
          <w:lang w:val="ru-RU"/>
        </w:rPr>
        <w:t xml:space="preserve"> фирманов</w:t>
      </w:r>
      <w:r w:rsidRPr="006E58E1">
        <w:rPr>
          <w:lang w:val="ru-RU"/>
        </w:rPr>
        <w:t>.</w:t>
      </w:r>
      <w:r w:rsidR="009C07FD" w:rsidRPr="006E58E1">
        <w:rPr>
          <w:lang w:val="ru-RU"/>
        </w:rPr>
        <w:t xml:space="preserve"> </w:t>
      </w:r>
      <w:r w:rsidR="009C07FD" w:rsidRPr="006E58E1">
        <w:rPr>
          <w:lang w:val="ru-RU" w:eastAsia="ru-RU"/>
        </w:rPr>
        <w:t xml:space="preserve">Так, мы узнаем </w:t>
      </w:r>
      <w:r w:rsidR="009C07FD" w:rsidRPr="006E58E1">
        <w:rPr>
          <w:lang w:val="ru-RU"/>
        </w:rPr>
        <w:t xml:space="preserve">полное мусульманское имя Симона </w:t>
      </w:r>
      <w:r w:rsidR="009C07FD" w:rsidRPr="006E58E1">
        <w:t>I</w:t>
      </w:r>
      <w:r w:rsidR="009C07FD" w:rsidRPr="006E58E1">
        <w:rPr>
          <w:lang w:val="ru-RU"/>
        </w:rPr>
        <w:t xml:space="preserve"> </w:t>
      </w:r>
      <w:r w:rsidR="009C07FD" w:rsidRPr="006E58E1">
        <w:rPr>
          <w:lang w:val="ru-RU" w:eastAsia="ru-RU"/>
        </w:rPr>
        <w:t>— это Абул Мансур Султан Махмуд</w:t>
      </w:r>
      <w:r w:rsidR="00352BD6" w:rsidRPr="006E58E1">
        <w:rPr>
          <w:lang w:val="ru-RU" w:eastAsia="ru-RU"/>
        </w:rPr>
        <w:t xml:space="preserve">-хан </w:t>
      </w:r>
      <w:r w:rsidR="009C07FD" w:rsidRPr="006E58E1">
        <w:rPr>
          <w:lang w:val="ru-RU" w:eastAsia="ru-RU"/>
        </w:rPr>
        <w:t>мирза, он представлялся не как царь Картли, а как мирза</w:t>
      </w:r>
      <w:r w:rsidR="00BB7A9B" w:rsidRPr="006E58E1">
        <w:rPr>
          <w:lang w:val="ru-RU" w:eastAsia="ru-RU"/>
        </w:rPr>
        <w:t xml:space="preserve"> [</w:t>
      </w:r>
      <w:r w:rsidR="00915033" w:rsidRPr="006E58E1">
        <w:rPr>
          <w:lang w:val="ru-RU" w:eastAsia="ru-RU"/>
        </w:rPr>
        <w:t>Путуридзе, 1955, с. 38.</w:t>
      </w:r>
      <w:r w:rsidR="00BB7A9B" w:rsidRPr="006E58E1">
        <w:rPr>
          <w:lang w:val="ru-RU" w:eastAsia="ru-RU"/>
        </w:rPr>
        <w:t>]</w:t>
      </w:r>
      <w:r w:rsidR="009C07FD" w:rsidRPr="006E58E1">
        <w:rPr>
          <w:lang w:val="ru-RU" w:eastAsia="ru-RU"/>
        </w:rPr>
        <w:t>.</w:t>
      </w:r>
      <w:r w:rsidR="008C259A" w:rsidRPr="006E58E1">
        <w:rPr>
          <w:lang w:val="ru-RU" w:eastAsia="ru-RU"/>
        </w:rPr>
        <w:t xml:space="preserve"> </w:t>
      </w:r>
      <w:r w:rsidR="009C07FD" w:rsidRPr="006E58E1">
        <w:rPr>
          <w:lang w:val="ru-RU"/>
        </w:rPr>
        <w:t>Изучение печатей на персидских и грузинских текстах дипломатических памятников позволило выявить важных должностных лиц канцелярии, участвовавших в выдаче грузино-персидских документов, а также в их рассмотрении и утверждении.</w:t>
      </w:r>
    </w:p>
    <w:p w:rsidR="00C52D99" w:rsidRPr="00C52D99" w:rsidRDefault="008C259A" w:rsidP="00C52D99">
      <w:pPr>
        <w:rPr>
          <w:lang w:val="ru-RU"/>
        </w:rPr>
      </w:pPr>
      <w:r w:rsidRPr="006E58E1">
        <w:rPr>
          <w:lang w:val="ru-RU"/>
        </w:rPr>
        <w:t>После полной интеграции Восточной Грузии</w:t>
      </w:r>
      <w:r w:rsidR="00CF4336">
        <w:rPr>
          <w:lang w:val="ru-RU"/>
        </w:rPr>
        <w:t xml:space="preserve"> </w:t>
      </w:r>
      <w:r w:rsidRPr="006E58E1">
        <w:rPr>
          <w:lang w:val="ru-RU"/>
        </w:rPr>
        <w:t xml:space="preserve">в административную систему Сафавидской империи при Аббасе </w:t>
      </w:r>
      <w:r w:rsidRPr="006E58E1">
        <w:t>I</w:t>
      </w:r>
      <w:r w:rsidRPr="006E58E1">
        <w:rPr>
          <w:lang w:val="ru-RU"/>
        </w:rPr>
        <w:t xml:space="preserve"> </w:t>
      </w:r>
      <w:r w:rsidRPr="006E58E1">
        <w:rPr>
          <w:lang w:val="ru-RU" w:eastAsia="ru-RU"/>
        </w:rPr>
        <w:t>(1588-1629 гг.)</w:t>
      </w:r>
      <w:r w:rsidRPr="006E58E1">
        <w:rPr>
          <w:lang w:val="ru-RU"/>
        </w:rPr>
        <w:t xml:space="preserve">, </w:t>
      </w:r>
      <w:r w:rsidRPr="006E58E1">
        <w:rPr>
          <w:lang w:val="ru-RU" w:eastAsia="ru-RU"/>
        </w:rPr>
        <w:t xml:space="preserve">назначаемые шахским двором вали </w:t>
      </w:r>
      <w:r w:rsidRPr="006E58E1">
        <w:rPr>
          <w:rStyle w:val="ad"/>
          <w:lang w:val="ru-RU" w:eastAsia="ru-RU"/>
        </w:rPr>
        <w:footnoteReference w:id="2"/>
      </w:r>
      <w:r w:rsidRPr="006E58E1">
        <w:rPr>
          <w:lang w:val="ru-RU" w:eastAsia="ru-RU"/>
        </w:rPr>
        <w:t>, оставались представителями царской династии Багратиони, однако необходимым условием для них стало совершение акта ренегатства. Ежегодно вали отправлял к шахскому двору подношение — бархане,</w:t>
      </w:r>
      <w:r w:rsidRPr="006E58E1">
        <w:rPr>
          <w:i/>
          <w:iCs/>
          <w:lang w:val="ru-RU" w:eastAsia="ru-RU"/>
        </w:rPr>
        <w:t xml:space="preserve"> </w:t>
      </w:r>
      <w:r w:rsidRPr="006E58E1">
        <w:rPr>
          <w:lang w:val="ru-RU" w:eastAsia="ru-RU"/>
        </w:rPr>
        <w:t xml:space="preserve">которое включало невольников и невольниц, вина, ястребов-перепелятников </w:t>
      </w:r>
      <w:r w:rsidR="00AC1D7B" w:rsidRPr="006E58E1">
        <w:rPr>
          <w:lang w:val="ru-RU" w:eastAsia="ru-RU"/>
        </w:rPr>
        <w:t>[</w:t>
      </w:r>
      <w:r w:rsidR="00915033" w:rsidRPr="006E58E1">
        <w:rPr>
          <w:lang w:val="ru-RU" w:eastAsia="ru-RU"/>
        </w:rPr>
        <w:t>Бердзенишвили, 1973, с. 252-254</w:t>
      </w:r>
      <w:r w:rsidR="00AC1D7B" w:rsidRPr="006E58E1">
        <w:rPr>
          <w:lang w:val="ru-RU" w:eastAsia="ru-RU"/>
        </w:rPr>
        <w:t>]</w:t>
      </w:r>
      <w:r w:rsidR="00915033" w:rsidRPr="006E58E1">
        <w:rPr>
          <w:lang w:val="ru-RU" w:eastAsia="ru-RU"/>
        </w:rPr>
        <w:t>.</w:t>
      </w:r>
    </w:p>
    <w:p w:rsidR="00C52D99" w:rsidRDefault="005D695A" w:rsidP="00C52D99">
      <w:pPr>
        <w:rPr>
          <w:lang w:val="ru-RU"/>
        </w:rPr>
      </w:pPr>
      <w:r w:rsidRPr="006E58E1">
        <w:rPr>
          <w:lang w:val="ru-RU"/>
        </w:rPr>
        <w:t xml:space="preserve">Каждое мероприятие, проводимое </w:t>
      </w:r>
      <w:r w:rsidR="0091177B" w:rsidRPr="006E58E1">
        <w:rPr>
          <w:lang w:val="ru-RU"/>
        </w:rPr>
        <w:t xml:space="preserve">вали </w:t>
      </w:r>
      <w:r w:rsidRPr="006E58E1">
        <w:rPr>
          <w:lang w:val="ru-RU"/>
        </w:rPr>
        <w:t>Р</w:t>
      </w:r>
      <w:r w:rsidR="00DF5795" w:rsidRPr="006E58E1">
        <w:rPr>
          <w:lang w:val="ru-RU"/>
        </w:rPr>
        <w:t>ус</w:t>
      </w:r>
      <w:r w:rsidRPr="006E58E1">
        <w:rPr>
          <w:lang w:val="ru-RU"/>
        </w:rPr>
        <w:t>т</w:t>
      </w:r>
      <w:r w:rsidR="00DF5795" w:rsidRPr="006E58E1">
        <w:rPr>
          <w:lang w:val="ru-RU"/>
        </w:rPr>
        <w:t>а</w:t>
      </w:r>
      <w:r w:rsidRPr="006E58E1">
        <w:rPr>
          <w:lang w:val="ru-RU"/>
        </w:rPr>
        <w:t>мом</w:t>
      </w:r>
      <w:r w:rsidR="00A76176" w:rsidRPr="006E58E1">
        <w:rPr>
          <w:lang w:val="ru-RU"/>
        </w:rPr>
        <w:t xml:space="preserve"> </w:t>
      </w:r>
      <w:r w:rsidR="00A76176" w:rsidRPr="006E58E1">
        <w:rPr>
          <w:lang w:val="ru-RU" w:eastAsia="ru-RU"/>
        </w:rPr>
        <w:t>(царь Картли 1633-1658 гг.; и Кахети 1648-1656 гг.)</w:t>
      </w:r>
      <w:r w:rsidRPr="006E58E1">
        <w:rPr>
          <w:lang w:val="ru-RU"/>
        </w:rPr>
        <w:t xml:space="preserve"> в государственном управлении Восточной Грузии, находилось под постоянным контролем шаха Ирана. С этой целью шахское правительство ввело также </w:t>
      </w:r>
      <w:r w:rsidR="00A76176" w:rsidRPr="006E58E1">
        <w:rPr>
          <w:lang w:val="ru-RU"/>
        </w:rPr>
        <w:t xml:space="preserve">следующие должности </w:t>
      </w:r>
      <w:r w:rsidRPr="006E58E1">
        <w:rPr>
          <w:lang w:val="ru-RU"/>
        </w:rPr>
        <w:t>при царском дворе Картли: визиря (советника), муст</w:t>
      </w:r>
      <w:r w:rsidR="00A76176" w:rsidRPr="006E58E1">
        <w:rPr>
          <w:lang w:val="ru-RU"/>
        </w:rPr>
        <w:t>о</w:t>
      </w:r>
      <w:r w:rsidRPr="006E58E1">
        <w:rPr>
          <w:lang w:val="ru-RU"/>
        </w:rPr>
        <w:t>уф</w:t>
      </w:r>
      <w:r w:rsidR="00A76176" w:rsidRPr="006E58E1">
        <w:rPr>
          <w:lang w:val="ru-RU"/>
        </w:rPr>
        <w:t>и</w:t>
      </w:r>
      <w:r w:rsidRPr="006E58E1">
        <w:rPr>
          <w:lang w:val="ru-RU"/>
        </w:rPr>
        <w:t xml:space="preserve"> (главного </w:t>
      </w:r>
      <w:r w:rsidR="00ED5B27" w:rsidRPr="006E58E1">
        <w:rPr>
          <w:lang w:val="ru-RU"/>
        </w:rPr>
        <w:t xml:space="preserve">управляющего </w:t>
      </w:r>
      <w:r w:rsidRPr="006E58E1">
        <w:rPr>
          <w:lang w:val="ru-RU"/>
        </w:rPr>
        <w:t>финансов</w:t>
      </w:r>
      <w:r w:rsidR="00ED5B27" w:rsidRPr="006E58E1">
        <w:rPr>
          <w:lang w:val="ru-RU"/>
        </w:rPr>
        <w:t>ыми и бухгалтерскими делами</w:t>
      </w:r>
      <w:r w:rsidRPr="006E58E1">
        <w:rPr>
          <w:lang w:val="ru-RU"/>
        </w:rPr>
        <w:t>) и мунши (пис</w:t>
      </w:r>
      <w:r w:rsidR="00ED5B27" w:rsidRPr="006E58E1">
        <w:rPr>
          <w:lang w:val="ru-RU"/>
        </w:rPr>
        <w:t>аря</w:t>
      </w:r>
      <w:r w:rsidRPr="006E58E1">
        <w:rPr>
          <w:lang w:val="ru-RU"/>
        </w:rPr>
        <w:t xml:space="preserve">). Все три эти должности образовывали надзорный аппарат при царском дворе Картли </w:t>
      </w:r>
      <w:r w:rsidR="00ED5B27" w:rsidRPr="006E58E1">
        <w:rPr>
          <w:lang w:val="ru-RU"/>
        </w:rPr>
        <w:t>[Жоржолиани, 19</w:t>
      </w:r>
      <w:r w:rsidR="005A0F0A" w:rsidRPr="006E58E1">
        <w:rPr>
          <w:lang w:val="ru-RU"/>
        </w:rPr>
        <w:t>87, с. 49</w:t>
      </w:r>
      <w:r w:rsidR="00ED5B27" w:rsidRPr="006E58E1">
        <w:rPr>
          <w:lang w:val="ru-RU"/>
        </w:rPr>
        <w:t>]</w:t>
      </w:r>
      <w:r w:rsidRPr="006E58E1">
        <w:rPr>
          <w:lang w:val="ru-RU"/>
        </w:rPr>
        <w:t>.</w:t>
      </w:r>
      <w:r w:rsidR="00C20F41" w:rsidRPr="006E58E1">
        <w:rPr>
          <w:lang w:val="ru-RU"/>
        </w:rPr>
        <w:t xml:space="preserve"> Особое место в канцелярском производстве отводилась мустоуфи, в обязательство которого входило регистрация документа в </w:t>
      </w:r>
      <w:r w:rsidR="00C20F41" w:rsidRPr="006E58E1">
        <w:rPr>
          <w:shd w:val="clear" w:color="auto" w:fill="FFFFFF"/>
          <w:lang w:val="ru-RU"/>
        </w:rPr>
        <w:t>реестре (</w:t>
      </w:r>
      <w:r w:rsidR="00C20F41" w:rsidRPr="006E58E1">
        <w:rPr>
          <w:rStyle w:val="ae"/>
          <w:i w:val="0"/>
          <w:iCs w:val="0"/>
          <w:lang w:val="ru-RU"/>
        </w:rPr>
        <w:t>дафатир</w:t>
      </w:r>
      <w:r w:rsidR="00C20F41" w:rsidRPr="006E58E1">
        <w:rPr>
          <w:i/>
          <w:iCs/>
          <w:shd w:val="clear" w:color="auto" w:fill="FFFFFF"/>
          <w:lang w:val="ru-RU"/>
        </w:rPr>
        <w:t>)</w:t>
      </w:r>
      <w:r w:rsidR="00C20F41" w:rsidRPr="006E58E1">
        <w:rPr>
          <w:lang w:val="ru-RU"/>
        </w:rPr>
        <w:t xml:space="preserve"> и недопущение каких-либо изменений в тексте.</w:t>
      </w:r>
    </w:p>
    <w:p w:rsidR="00C52D99" w:rsidRDefault="00542F26" w:rsidP="00C52D99">
      <w:pPr>
        <w:rPr>
          <w:lang w:val="ru-RU"/>
        </w:rPr>
      </w:pPr>
      <w:r w:rsidRPr="006E58E1">
        <w:rPr>
          <w:lang w:val="ru-RU"/>
        </w:rPr>
        <w:t>Острые политические отношения между грузинами и саф</w:t>
      </w:r>
      <w:r w:rsidR="00C20F41" w:rsidRPr="006E58E1">
        <w:rPr>
          <w:lang w:val="ru-RU"/>
        </w:rPr>
        <w:t>авидами</w:t>
      </w:r>
      <w:r w:rsidRPr="006E58E1">
        <w:rPr>
          <w:lang w:val="ru-RU"/>
        </w:rPr>
        <w:t xml:space="preserve"> привели к появлению таких терминов, как</w:t>
      </w:r>
      <w:r w:rsidR="00915033" w:rsidRPr="006E58E1">
        <w:rPr>
          <w:lang w:val="ru-RU"/>
        </w:rPr>
        <w:t>:</w:t>
      </w:r>
      <w:r w:rsidRPr="006E58E1">
        <w:rPr>
          <w:lang w:val="ru-RU"/>
        </w:rPr>
        <w:t xml:space="preserve"> </w:t>
      </w:r>
      <w:r w:rsidR="00915033" w:rsidRPr="006E58E1">
        <w:rPr>
          <w:lang w:val="ru-RU"/>
        </w:rPr>
        <w:t>т</w:t>
      </w:r>
      <w:r w:rsidRPr="006E58E1">
        <w:rPr>
          <w:lang w:val="ru-RU"/>
        </w:rPr>
        <w:t xml:space="preserve">иул, </w:t>
      </w:r>
      <w:r w:rsidR="00915033" w:rsidRPr="006E58E1">
        <w:rPr>
          <w:lang w:val="ru-RU"/>
        </w:rPr>
        <w:t>тиу</w:t>
      </w:r>
      <w:r w:rsidRPr="006E58E1">
        <w:rPr>
          <w:lang w:val="ru-RU"/>
        </w:rPr>
        <w:t xml:space="preserve">лдар, </w:t>
      </w:r>
      <w:r w:rsidR="007B4122" w:rsidRPr="006E58E1">
        <w:rPr>
          <w:lang w:val="ru-RU"/>
        </w:rPr>
        <w:t>с</w:t>
      </w:r>
      <w:r w:rsidRPr="006E58E1">
        <w:rPr>
          <w:lang w:val="ru-RU"/>
        </w:rPr>
        <w:t xml:space="preserve">оюргал, </w:t>
      </w:r>
      <w:r w:rsidR="007B4122" w:rsidRPr="006E58E1">
        <w:rPr>
          <w:lang w:val="ru-RU"/>
        </w:rPr>
        <w:t xml:space="preserve">райят-крестьяне, платившие </w:t>
      </w:r>
      <w:r w:rsidR="007B4122" w:rsidRPr="006E58E1">
        <w:rPr>
          <w:rStyle w:val="ae"/>
          <w:i w:val="0"/>
          <w:iCs w:val="0"/>
          <w:lang w:val="ru-RU"/>
        </w:rPr>
        <w:t>мал-</w:t>
      </w:r>
      <w:r w:rsidR="007B4122" w:rsidRPr="006E58E1">
        <w:rPr>
          <w:rStyle w:val="ae"/>
          <w:i w:val="0"/>
          <w:iCs w:val="0"/>
          <w:lang w:val="ru-RU"/>
        </w:rPr>
        <w:lastRenderedPageBreak/>
        <w:t>у джихат</w:t>
      </w:r>
      <w:r w:rsidR="007B4122" w:rsidRPr="006E58E1">
        <w:rPr>
          <w:lang w:val="ru-RU"/>
        </w:rPr>
        <w:t xml:space="preserve"> (</w:t>
      </w:r>
      <w:r w:rsidR="007B4122" w:rsidRPr="006E58E1">
        <w:rPr>
          <w:shd w:val="clear" w:color="auto" w:fill="FFFFFF"/>
          <w:lang w:val="ru-RU"/>
        </w:rPr>
        <w:t>подать, уплачиваемая деньгами и натурой</w:t>
      </w:r>
      <w:r w:rsidR="007B4122" w:rsidRPr="006E58E1">
        <w:rPr>
          <w:lang w:val="ru-RU"/>
        </w:rPr>
        <w:t>)</w:t>
      </w:r>
      <w:r w:rsidRPr="006E58E1">
        <w:rPr>
          <w:lang w:val="ru-RU"/>
        </w:rPr>
        <w:t>. Эти условия были чуждыми и неприемлемыми для грузинской системы землевладения.</w:t>
      </w:r>
      <w:r w:rsidR="007B4122" w:rsidRPr="006E58E1">
        <w:rPr>
          <w:lang w:val="ru-RU"/>
        </w:rPr>
        <w:t xml:space="preserve"> </w:t>
      </w:r>
      <w:r w:rsidRPr="006E58E1">
        <w:rPr>
          <w:lang w:val="ru-RU"/>
        </w:rPr>
        <w:t xml:space="preserve">Согласно иранской традиции, </w:t>
      </w:r>
      <w:r w:rsidR="006C5A3B" w:rsidRPr="006E58E1">
        <w:rPr>
          <w:lang w:val="ru-RU"/>
        </w:rPr>
        <w:t xml:space="preserve">с </w:t>
      </w:r>
      <w:r w:rsidRPr="006E58E1">
        <w:rPr>
          <w:lang w:val="ru-RU"/>
        </w:rPr>
        <w:t>тиул</w:t>
      </w:r>
      <w:r w:rsidR="006C5A3B" w:rsidRPr="006E58E1">
        <w:rPr>
          <w:lang w:val="ru-RU"/>
        </w:rPr>
        <w:t xml:space="preserve">ьных земель тиулдары могли собирать </w:t>
      </w:r>
      <w:r w:rsidRPr="006E58E1">
        <w:rPr>
          <w:lang w:val="ru-RU"/>
        </w:rPr>
        <w:t>рент</w:t>
      </w:r>
      <w:r w:rsidR="006C5A3B" w:rsidRPr="006E58E1">
        <w:rPr>
          <w:lang w:val="ru-RU"/>
        </w:rPr>
        <w:t>у</w:t>
      </w:r>
      <w:r w:rsidRPr="006E58E1">
        <w:rPr>
          <w:lang w:val="ru-RU"/>
        </w:rPr>
        <w:t>-</w:t>
      </w:r>
      <w:r w:rsidR="006C5A3B" w:rsidRPr="006E58E1">
        <w:rPr>
          <w:lang w:val="ru-RU"/>
        </w:rPr>
        <w:t>дань</w:t>
      </w:r>
      <w:r w:rsidRPr="006E58E1">
        <w:rPr>
          <w:lang w:val="ru-RU"/>
        </w:rPr>
        <w:t>, а не право распоряжаться землей, живущими на ней людьми и оросительной сетью [Петрушевский, 1949</w:t>
      </w:r>
      <w:r w:rsidR="007B4122" w:rsidRPr="006E58E1">
        <w:rPr>
          <w:lang w:val="ru-RU"/>
        </w:rPr>
        <w:t xml:space="preserve">, с. </w:t>
      </w:r>
      <w:r w:rsidRPr="006E58E1">
        <w:rPr>
          <w:lang w:val="ru-RU"/>
        </w:rPr>
        <w:t>184-221].</w:t>
      </w:r>
    </w:p>
    <w:p w:rsidR="00C52D99" w:rsidRDefault="00542F26" w:rsidP="00C52D99">
      <w:pPr>
        <w:rPr>
          <w:lang w:val="ru-RU" w:eastAsia="ru-RU"/>
        </w:rPr>
      </w:pPr>
      <w:r w:rsidRPr="006E58E1">
        <w:rPr>
          <w:lang w:val="ru-RU"/>
        </w:rPr>
        <w:t xml:space="preserve">Такое терминологическое несоответствие грузинским феодальным институтам объясняется невозможностью передать на персидском языке особенности грузинских </w:t>
      </w:r>
      <w:r w:rsidR="00C20F41" w:rsidRPr="006E58E1">
        <w:rPr>
          <w:lang w:val="ru-RU"/>
        </w:rPr>
        <w:t xml:space="preserve">земельных </w:t>
      </w:r>
      <w:r w:rsidRPr="006E58E1">
        <w:rPr>
          <w:lang w:val="ru-RU"/>
        </w:rPr>
        <w:t>отношений, тем, что отсутствие понятия «поместье» в персидском языке и сознании привело к появлению вышеупомянутых технических терминов. [Габашвили, 1958</w:t>
      </w:r>
      <w:r w:rsidR="00F92FA8" w:rsidRPr="006E58E1">
        <w:rPr>
          <w:lang w:val="ru-RU"/>
        </w:rPr>
        <w:t>,</w:t>
      </w:r>
      <w:r w:rsidR="00C20F41" w:rsidRPr="006E58E1">
        <w:rPr>
          <w:lang w:val="ru-RU"/>
        </w:rPr>
        <w:t xml:space="preserve"> с. </w:t>
      </w:r>
      <w:r w:rsidRPr="006E58E1">
        <w:rPr>
          <w:lang w:val="ru-RU"/>
        </w:rPr>
        <w:t>276-277]</w:t>
      </w:r>
      <w:r w:rsidR="00F92FA8" w:rsidRPr="006E58E1">
        <w:rPr>
          <w:lang w:val="ru-RU"/>
        </w:rPr>
        <w:t>.</w:t>
      </w:r>
      <w:r w:rsidR="007309D7" w:rsidRPr="006E58E1">
        <w:rPr>
          <w:lang w:val="ru-RU"/>
        </w:rPr>
        <w:t xml:space="preserve"> </w:t>
      </w:r>
      <w:r w:rsidR="007309D7" w:rsidRPr="006E58E1">
        <w:rPr>
          <w:lang w:val="ru-RU" w:eastAsia="ru-RU"/>
        </w:rPr>
        <w:t>Известно, что сафавидские шахи закрепляли мульки за тавадами и распоряжались вакфами, — так: Сафи I</w:t>
      </w:r>
      <w:r w:rsidR="00021EFF" w:rsidRPr="006E58E1">
        <w:rPr>
          <w:lang w:val="ru-RU" w:eastAsia="ru-RU"/>
        </w:rPr>
        <w:t xml:space="preserve"> (1629-1642 гг.)</w:t>
      </w:r>
      <w:r w:rsidR="007309D7" w:rsidRPr="006E58E1">
        <w:rPr>
          <w:lang w:val="ru-RU" w:eastAsia="ru-RU"/>
        </w:rPr>
        <w:t xml:space="preserve"> в 1635 г. заново закрепил за Гиви, сыном Гурама, мульки, принадлежащие его отцу; а в 1642 г. дал согласие на передачу Светицховели земли вакфа в Картли и Кахети </w:t>
      </w:r>
      <w:r w:rsidR="009A6C5A" w:rsidRPr="006E58E1">
        <w:rPr>
          <w:lang w:val="ru-RU" w:eastAsia="ru-RU"/>
        </w:rPr>
        <w:t>[</w:t>
      </w:r>
      <w:r w:rsidR="00021EFF" w:rsidRPr="006E58E1">
        <w:rPr>
          <w:lang w:val="ru-RU" w:eastAsia="ru-RU"/>
        </w:rPr>
        <w:t>Тодуа, 1995, с. 33-41</w:t>
      </w:r>
      <w:r w:rsidR="009A6C5A" w:rsidRPr="006E58E1">
        <w:rPr>
          <w:lang w:val="ru-RU" w:eastAsia="ru-RU"/>
        </w:rPr>
        <w:t>]</w:t>
      </w:r>
      <w:r w:rsidR="00C52D99">
        <w:rPr>
          <w:lang w:val="ru-RU" w:eastAsia="ru-RU"/>
        </w:rPr>
        <w:t>.</w:t>
      </w:r>
    </w:p>
    <w:p w:rsidR="00C52D99" w:rsidRDefault="0026063C" w:rsidP="00C52D99">
      <w:pPr>
        <w:rPr>
          <w:lang w:val="ru-RU" w:eastAsia="ru-RU"/>
        </w:rPr>
      </w:pPr>
      <w:r w:rsidRPr="006E58E1">
        <w:rPr>
          <w:color w:val="000000"/>
          <w:lang w:val="ru-RU" w:eastAsia="ru-RU"/>
        </w:rPr>
        <w:t xml:space="preserve">Во времена Рустам-хана христианство в Картли официально не запрещалось и не преследовалось. Однако само его обращение в ислам, наряду с другими факторами, подтолкнул владетелей и определенную часть высших слоев тбилисского населения последовать за царем [Куция, 2001, </w:t>
      </w:r>
      <w:r w:rsidRPr="006E58E1">
        <w:rPr>
          <w:color w:val="000000"/>
          <w:lang w:eastAsia="ru-RU"/>
        </w:rPr>
        <w:t>c</w:t>
      </w:r>
      <w:r w:rsidRPr="006E58E1">
        <w:rPr>
          <w:color w:val="000000"/>
          <w:lang w:val="ru-RU" w:eastAsia="ru-RU"/>
        </w:rPr>
        <w:t xml:space="preserve">. 373.]. Таким образом, как мы видим, с 30-х годов XVII в. меняется конфессиональный облик Тбилиси — увеличивается шиитское население. </w:t>
      </w:r>
      <w:r w:rsidR="006E58E1" w:rsidRPr="006E58E1">
        <w:rPr>
          <w:color w:val="000000"/>
          <w:lang w:val="ru-RU" w:eastAsia="ru-RU"/>
        </w:rPr>
        <w:t>Результатом религиозной политики стал перевод Горгиджанидзе</w:t>
      </w:r>
      <w:r w:rsidR="000E2172">
        <w:rPr>
          <w:color w:val="000000"/>
          <w:lang w:val="ru-RU" w:eastAsia="ru-RU"/>
        </w:rPr>
        <w:t xml:space="preserve"> </w:t>
      </w:r>
      <w:r w:rsidR="000E2172">
        <w:rPr>
          <w:lang w:val="ru-RU"/>
        </w:rPr>
        <w:t>(1626-1696)</w:t>
      </w:r>
      <w:r w:rsidR="006E58E1" w:rsidRPr="006E58E1">
        <w:rPr>
          <w:color w:val="000000"/>
          <w:lang w:val="ru-RU" w:eastAsia="ru-RU"/>
        </w:rPr>
        <w:t xml:space="preserve"> </w:t>
      </w:r>
      <w:r w:rsidRPr="006E58E1">
        <w:rPr>
          <w:color w:val="000000"/>
          <w:lang w:val="ru-RU" w:eastAsia="ru-RU"/>
        </w:rPr>
        <w:t>«</w:t>
      </w:r>
      <w:r w:rsidR="006E58E1" w:rsidRPr="006E58E1">
        <w:rPr>
          <w:color w:val="000000"/>
          <w:lang w:val="ru-RU" w:eastAsia="ru-RU"/>
        </w:rPr>
        <w:t>к</w:t>
      </w:r>
      <w:r w:rsidRPr="006E58E1">
        <w:rPr>
          <w:color w:val="000000"/>
          <w:lang w:val="ru-RU" w:eastAsia="ru-RU"/>
        </w:rPr>
        <w:t>ниг</w:t>
      </w:r>
      <w:r w:rsidR="006E58E1" w:rsidRPr="006E58E1">
        <w:rPr>
          <w:color w:val="000000"/>
          <w:lang w:val="ru-RU" w:eastAsia="ru-RU"/>
        </w:rPr>
        <w:t>и</w:t>
      </w:r>
      <w:r w:rsidRPr="006E58E1">
        <w:rPr>
          <w:color w:val="000000"/>
          <w:lang w:val="ru-RU" w:eastAsia="ru-RU"/>
        </w:rPr>
        <w:t xml:space="preserve"> мусульманских законов — Джами Аббаси» Баха ад-Дина Мухаммада Амили. Благодаря изложению на персидском языке, текст был доступен широким слоям населения, став своего рода справочником для </w:t>
      </w:r>
      <w:r w:rsidR="006E58E1" w:rsidRPr="006E58E1">
        <w:rPr>
          <w:color w:val="000000"/>
          <w:lang w:val="ru-RU" w:eastAsia="ru-RU"/>
        </w:rPr>
        <w:t xml:space="preserve">праведного </w:t>
      </w:r>
      <w:r w:rsidRPr="006E58E1">
        <w:rPr>
          <w:color w:val="000000"/>
          <w:lang w:val="ru-RU" w:eastAsia="ru-RU"/>
        </w:rPr>
        <w:t xml:space="preserve">мусульманина. Перевод Горгиджанидзе предназначался для нового мусульманского грузинского </w:t>
      </w:r>
      <w:r w:rsidRPr="0082717E">
        <w:rPr>
          <w:color w:val="000000"/>
          <w:lang w:val="ru-RU" w:eastAsia="ru-RU"/>
        </w:rPr>
        <w:t>общества.</w:t>
      </w:r>
    </w:p>
    <w:p w:rsidR="00C52D99" w:rsidRDefault="00CE2D18" w:rsidP="00C52D99">
      <w:pPr>
        <w:rPr>
          <w:lang w:val="ru-RU" w:eastAsia="ru-RU"/>
        </w:rPr>
      </w:pPr>
      <w:r w:rsidRPr="0082717E">
        <w:rPr>
          <w:color w:val="000000"/>
          <w:lang w:val="ru-RU" w:eastAsia="ru-RU"/>
        </w:rPr>
        <w:t>Труды придворных персидских историографов обстоятельно рассматривают военные кампании сафавидских шахов, направленные против царств Картли и Кахети; их связи с грузинской царской семьей и тавадами; а также административно-политический статус грузинских царств</w:t>
      </w:r>
      <w:r w:rsidR="009827B4" w:rsidRPr="0082717E">
        <w:rPr>
          <w:color w:val="000000"/>
          <w:lang w:val="ru-RU" w:eastAsia="ru-RU"/>
        </w:rPr>
        <w:t>. Среди них</w:t>
      </w:r>
      <w:r w:rsidR="002A760F" w:rsidRPr="0082717E">
        <w:rPr>
          <w:lang w:val="ru-RU" w:eastAsia="ru-RU"/>
        </w:rPr>
        <w:t>:</w:t>
      </w:r>
      <w:r w:rsidR="00374D80" w:rsidRPr="0082717E">
        <w:rPr>
          <w:lang w:val="ru-RU" w:eastAsia="ru-RU"/>
        </w:rPr>
        <w:t xml:space="preserve"> </w:t>
      </w:r>
      <w:r w:rsidR="00FE0FC0" w:rsidRPr="0082717E">
        <w:rPr>
          <w:color w:val="000000"/>
          <w:lang w:val="ru-RU" w:eastAsia="ru-RU"/>
        </w:rPr>
        <w:t>«</w:t>
      </w:r>
      <w:proofErr w:type="spellStart"/>
      <w:r w:rsidR="00FE0FC0" w:rsidRPr="0082717E">
        <w:rPr>
          <w:color w:val="000000"/>
          <w:lang w:val="ru-RU" w:eastAsia="ru-RU"/>
        </w:rPr>
        <w:t>Тарих</w:t>
      </w:r>
      <w:proofErr w:type="spellEnd"/>
      <w:r w:rsidR="00FE0FC0" w:rsidRPr="0082717E">
        <w:rPr>
          <w:color w:val="000000"/>
          <w:lang w:val="ru-RU" w:eastAsia="ru-RU"/>
        </w:rPr>
        <w:t xml:space="preserve">-и </w:t>
      </w:r>
      <w:proofErr w:type="spellStart"/>
      <w:r w:rsidR="00FE0FC0" w:rsidRPr="0082717E">
        <w:rPr>
          <w:color w:val="000000"/>
          <w:lang w:val="ru-RU" w:eastAsia="ru-RU"/>
        </w:rPr>
        <w:t>аламара-йи</w:t>
      </w:r>
      <w:proofErr w:type="spellEnd"/>
      <w:r w:rsidR="00FE0FC0" w:rsidRPr="0082717E">
        <w:rPr>
          <w:color w:val="000000"/>
          <w:lang w:val="ru-RU" w:eastAsia="ru-RU"/>
        </w:rPr>
        <w:t xml:space="preserve"> </w:t>
      </w:r>
      <w:proofErr w:type="spellStart"/>
      <w:r w:rsidR="00FE0FC0" w:rsidRPr="0082717E">
        <w:rPr>
          <w:color w:val="000000"/>
          <w:lang w:val="ru-RU" w:eastAsia="ru-RU"/>
        </w:rPr>
        <w:t>аббаси</w:t>
      </w:r>
      <w:proofErr w:type="spellEnd"/>
      <w:r w:rsidR="00FE0FC0" w:rsidRPr="0082717E">
        <w:rPr>
          <w:color w:val="000000"/>
          <w:lang w:val="ru-RU" w:eastAsia="ru-RU"/>
        </w:rPr>
        <w:t xml:space="preserve">» </w:t>
      </w:r>
      <w:r w:rsidR="00FE0FC0" w:rsidRPr="0082717E">
        <w:rPr>
          <w:lang w:val="ru-RU"/>
        </w:rPr>
        <w:t xml:space="preserve">Искандер-бека </w:t>
      </w:r>
      <w:proofErr w:type="spellStart"/>
      <w:r w:rsidR="00FE0FC0" w:rsidRPr="0082717E">
        <w:rPr>
          <w:lang w:val="ru-RU"/>
        </w:rPr>
        <w:t>Туркемана</w:t>
      </w:r>
      <w:proofErr w:type="spellEnd"/>
      <w:r w:rsidR="00FE0FC0" w:rsidRPr="0082717E">
        <w:rPr>
          <w:lang w:val="ru-RU"/>
        </w:rPr>
        <w:t xml:space="preserve"> (1560/61-1634), по прозвищу </w:t>
      </w:r>
      <w:proofErr w:type="spellStart"/>
      <w:r w:rsidR="00FE0FC0" w:rsidRPr="0082717E">
        <w:rPr>
          <w:lang w:val="ru-RU"/>
        </w:rPr>
        <w:t>Мунши</w:t>
      </w:r>
      <w:proofErr w:type="spellEnd"/>
      <w:r w:rsidR="00FE0FC0" w:rsidRPr="0082717E">
        <w:rPr>
          <w:lang w:val="ru-RU"/>
        </w:rPr>
        <w:t xml:space="preserve">, крупнейшего представителя придворной историографии династии </w:t>
      </w:r>
      <w:proofErr w:type="spellStart"/>
      <w:r w:rsidR="00FE0FC0" w:rsidRPr="0082717E">
        <w:rPr>
          <w:lang w:val="ru-RU"/>
        </w:rPr>
        <w:t>Сафавидов</w:t>
      </w:r>
      <w:proofErr w:type="spellEnd"/>
      <w:r w:rsidR="00FE0FC0" w:rsidRPr="0082717E">
        <w:rPr>
          <w:lang w:val="ru-RU"/>
        </w:rPr>
        <w:t xml:space="preserve">; </w:t>
      </w:r>
      <w:r w:rsidR="009827B4" w:rsidRPr="0082717E">
        <w:rPr>
          <w:color w:val="000000"/>
          <w:lang w:val="ru-RU" w:eastAsia="ru-RU"/>
        </w:rPr>
        <w:t>«</w:t>
      </w:r>
      <w:proofErr w:type="spellStart"/>
      <w:r w:rsidR="009827B4" w:rsidRPr="0082717E">
        <w:rPr>
          <w:color w:val="000000"/>
          <w:lang w:val="ru-RU" w:eastAsia="ru-RU"/>
        </w:rPr>
        <w:t>Афдал</w:t>
      </w:r>
      <w:proofErr w:type="spellEnd"/>
      <w:r w:rsidR="009827B4" w:rsidRPr="0082717E">
        <w:rPr>
          <w:color w:val="000000"/>
          <w:lang w:val="ru-RU" w:eastAsia="ru-RU"/>
        </w:rPr>
        <w:t xml:space="preserve"> </w:t>
      </w:r>
      <w:proofErr w:type="spellStart"/>
      <w:r w:rsidR="009827B4" w:rsidRPr="0082717E">
        <w:rPr>
          <w:color w:val="000000"/>
          <w:lang w:val="ru-RU" w:eastAsia="ru-RU"/>
        </w:rPr>
        <w:t>ат-таварих</w:t>
      </w:r>
      <w:proofErr w:type="spellEnd"/>
      <w:r w:rsidR="009827B4" w:rsidRPr="0082717E">
        <w:rPr>
          <w:color w:val="000000"/>
          <w:lang w:val="ru-RU" w:eastAsia="ru-RU"/>
        </w:rPr>
        <w:t xml:space="preserve">» </w:t>
      </w:r>
      <w:proofErr w:type="spellStart"/>
      <w:r w:rsidR="009827B4" w:rsidRPr="0082717E">
        <w:rPr>
          <w:color w:val="000000"/>
          <w:lang w:val="ru-RU" w:eastAsia="ru-RU"/>
        </w:rPr>
        <w:t>Фазли</w:t>
      </w:r>
      <w:proofErr w:type="spellEnd"/>
      <w:r w:rsidR="009827B4" w:rsidRPr="0082717E">
        <w:rPr>
          <w:color w:val="000000"/>
          <w:lang w:val="ru-RU" w:eastAsia="ru-RU"/>
        </w:rPr>
        <w:t xml:space="preserve"> </w:t>
      </w:r>
      <w:proofErr w:type="spellStart"/>
      <w:r w:rsidR="009827B4" w:rsidRPr="0082717E">
        <w:rPr>
          <w:color w:val="000000"/>
          <w:lang w:val="ru-RU" w:eastAsia="ru-RU"/>
        </w:rPr>
        <w:t>Хузани</w:t>
      </w:r>
      <w:proofErr w:type="spellEnd"/>
      <w:r w:rsidR="009827B4" w:rsidRPr="0082717E">
        <w:rPr>
          <w:color w:val="000000"/>
          <w:lang w:val="ru-RU" w:eastAsia="ru-RU"/>
        </w:rPr>
        <w:t xml:space="preserve">, </w:t>
      </w:r>
      <w:r w:rsidR="00B8694D">
        <w:rPr>
          <w:color w:val="000000"/>
          <w:lang w:val="ru-RU" w:eastAsia="ru-RU"/>
        </w:rPr>
        <w:t xml:space="preserve">находящегося на службе у </w:t>
      </w:r>
      <w:proofErr w:type="spellStart"/>
      <w:r w:rsidR="009827B4" w:rsidRPr="0082717E">
        <w:rPr>
          <w:color w:val="000000"/>
          <w:lang w:val="ru-RU" w:eastAsia="ru-RU"/>
        </w:rPr>
        <w:t>Пейкар</w:t>
      </w:r>
      <w:proofErr w:type="spellEnd"/>
      <w:r w:rsidR="009827B4" w:rsidRPr="0082717E">
        <w:rPr>
          <w:color w:val="000000"/>
          <w:lang w:val="ru-RU" w:eastAsia="ru-RU"/>
        </w:rPr>
        <w:t>-хана (1616-1625 гг.);</w:t>
      </w:r>
      <w:r w:rsidR="009827B4" w:rsidRPr="0082717E">
        <w:rPr>
          <w:lang w:val="ru-RU"/>
        </w:rPr>
        <w:t xml:space="preserve"> </w:t>
      </w:r>
      <w:r w:rsidR="000E2172" w:rsidRPr="0082717E">
        <w:rPr>
          <w:lang w:val="ru-RU"/>
        </w:rPr>
        <w:t>«</w:t>
      </w:r>
      <w:proofErr w:type="spellStart"/>
      <w:r w:rsidR="000E2172" w:rsidRPr="0082717E">
        <w:rPr>
          <w:lang w:val="ru-RU"/>
        </w:rPr>
        <w:t>Тазкират</w:t>
      </w:r>
      <w:proofErr w:type="spellEnd"/>
      <w:r w:rsidR="000E2172" w:rsidRPr="0082717E">
        <w:rPr>
          <w:lang w:val="ru-RU"/>
        </w:rPr>
        <w:t xml:space="preserve"> аль-</w:t>
      </w:r>
      <w:proofErr w:type="spellStart"/>
      <w:r w:rsidR="000E2172" w:rsidRPr="0082717E">
        <w:rPr>
          <w:lang w:val="ru-RU"/>
        </w:rPr>
        <w:t>мулюк</w:t>
      </w:r>
      <w:proofErr w:type="spellEnd"/>
      <w:r w:rsidR="000E2172" w:rsidRPr="0082717E">
        <w:rPr>
          <w:lang w:val="ru-RU"/>
        </w:rPr>
        <w:t>»</w:t>
      </w:r>
      <w:r w:rsidR="000C797E" w:rsidRPr="0082717E">
        <w:rPr>
          <w:lang w:val="ru-RU"/>
        </w:rPr>
        <w:t xml:space="preserve"> </w:t>
      </w:r>
      <w:r w:rsidR="000C797E" w:rsidRPr="0082717E">
        <w:rPr>
          <w:shd w:val="clear" w:color="auto" w:fill="FFFFFF"/>
          <w:lang w:val="ru-RU"/>
        </w:rPr>
        <w:t>(«Памят</w:t>
      </w:r>
      <w:r w:rsidR="00374D80" w:rsidRPr="0082717E">
        <w:rPr>
          <w:shd w:val="clear" w:color="auto" w:fill="FFFFFF"/>
          <w:lang w:val="ru-RU"/>
        </w:rPr>
        <w:t>ная записка</w:t>
      </w:r>
      <w:r w:rsidR="000C797E" w:rsidRPr="0082717E">
        <w:rPr>
          <w:shd w:val="clear" w:color="auto" w:fill="FFFFFF"/>
          <w:lang w:val="ru-RU"/>
        </w:rPr>
        <w:t xml:space="preserve"> для царей») </w:t>
      </w:r>
      <w:r w:rsidR="000E2172" w:rsidRPr="0082717E">
        <w:rPr>
          <w:lang w:val="ru-RU"/>
        </w:rPr>
        <w:t xml:space="preserve">— историческое произведение </w:t>
      </w:r>
      <w:r w:rsidR="00374D80" w:rsidRPr="0082717E">
        <w:rPr>
          <w:rStyle w:val="ae"/>
          <w:i w:val="0"/>
          <w:iCs w:val="0"/>
          <w:lang w:val="ru-RU"/>
        </w:rPr>
        <w:t>Мирзы</w:t>
      </w:r>
      <w:r w:rsidR="002D70FF" w:rsidRPr="0082717E">
        <w:rPr>
          <w:rStyle w:val="apple-converted-space"/>
          <w:shd w:val="clear" w:color="auto" w:fill="FFFFFF"/>
          <w:lang w:val="ru-RU"/>
        </w:rPr>
        <w:t xml:space="preserve"> </w:t>
      </w:r>
      <w:r w:rsidR="00374D80" w:rsidRPr="0082717E">
        <w:rPr>
          <w:shd w:val="clear" w:color="auto" w:fill="FFFFFF"/>
          <w:lang w:val="ru-RU"/>
        </w:rPr>
        <w:t>Мухаммада</w:t>
      </w:r>
      <w:r w:rsidR="002D70FF" w:rsidRPr="0082717E">
        <w:rPr>
          <w:rStyle w:val="apple-converted-space"/>
          <w:shd w:val="clear" w:color="auto" w:fill="FFFFFF"/>
          <w:lang w:val="ru-RU"/>
        </w:rPr>
        <w:t xml:space="preserve"> </w:t>
      </w:r>
      <w:proofErr w:type="spellStart"/>
      <w:r w:rsidR="00374D80" w:rsidRPr="0082717E">
        <w:rPr>
          <w:rStyle w:val="ae"/>
          <w:i w:val="0"/>
          <w:iCs w:val="0"/>
          <w:lang w:val="ru-RU"/>
        </w:rPr>
        <w:t>Сами</w:t>
      </w:r>
      <w:r w:rsidR="003D0081" w:rsidRPr="003D0081">
        <w:rPr>
          <w:rStyle w:val="ae"/>
          <w:i w:val="0"/>
          <w:iCs w:val="0"/>
          <w:lang w:val="ru-RU"/>
        </w:rPr>
        <w:t>’</w:t>
      </w:r>
      <w:r w:rsidR="00374D80" w:rsidRPr="0082717E">
        <w:rPr>
          <w:rStyle w:val="ae"/>
          <w:i w:val="0"/>
          <w:iCs w:val="0"/>
          <w:lang w:val="ru-RU"/>
        </w:rPr>
        <w:t>а</w:t>
      </w:r>
      <w:proofErr w:type="spellEnd"/>
      <w:r w:rsidR="00374D80" w:rsidRPr="0082717E">
        <w:rPr>
          <w:rStyle w:val="ae"/>
          <w:i w:val="0"/>
          <w:iCs w:val="0"/>
          <w:lang w:val="ru-RU"/>
        </w:rPr>
        <w:t xml:space="preserve">, составленное </w:t>
      </w:r>
      <w:r w:rsidR="00374D80" w:rsidRPr="0082717E">
        <w:rPr>
          <w:lang w:val="ru-RU"/>
        </w:rPr>
        <w:t>в 172</w:t>
      </w:r>
      <w:r w:rsidR="000B226A">
        <w:rPr>
          <w:lang w:val="ru-RU"/>
        </w:rPr>
        <w:t>5</w:t>
      </w:r>
      <w:r w:rsidR="00374D80" w:rsidRPr="0082717E">
        <w:rPr>
          <w:lang w:val="ru-RU"/>
        </w:rPr>
        <w:t xml:space="preserve"> г</w:t>
      </w:r>
      <w:r w:rsidR="00FE0FC0" w:rsidRPr="0082717E">
        <w:rPr>
          <w:lang w:val="ru-RU"/>
        </w:rPr>
        <w:t>.</w:t>
      </w:r>
    </w:p>
    <w:p w:rsidR="00C52D99" w:rsidRDefault="000E0BCD" w:rsidP="00C52D99">
      <w:pPr>
        <w:rPr>
          <w:lang w:val="ru-RU" w:eastAsia="ru-RU"/>
        </w:rPr>
      </w:pPr>
      <w:r>
        <w:rPr>
          <w:lang w:val="ru-RU"/>
        </w:rPr>
        <w:t xml:space="preserve">Важными источниками выступают </w:t>
      </w:r>
      <w:r w:rsidR="003D0081" w:rsidRPr="003D0081">
        <w:rPr>
          <w:lang w:val="ru-RU"/>
        </w:rPr>
        <w:t xml:space="preserve">— «История» </w:t>
      </w:r>
      <w:proofErr w:type="spellStart"/>
      <w:r w:rsidR="003D0081" w:rsidRPr="003D0081">
        <w:rPr>
          <w:lang w:val="ru-RU"/>
        </w:rPr>
        <w:t>Парсадана</w:t>
      </w:r>
      <w:proofErr w:type="spellEnd"/>
      <w:r w:rsidR="003D0081" w:rsidRPr="003D0081">
        <w:rPr>
          <w:lang w:val="ru-RU"/>
        </w:rPr>
        <w:t xml:space="preserve"> </w:t>
      </w:r>
      <w:proofErr w:type="spellStart"/>
      <w:r w:rsidR="003D0081" w:rsidRPr="003D0081">
        <w:rPr>
          <w:lang w:val="ru-RU"/>
        </w:rPr>
        <w:t>Горгиджанидзе</w:t>
      </w:r>
      <w:proofErr w:type="spellEnd"/>
      <w:r w:rsidR="003D0081" w:rsidRPr="003D0081">
        <w:rPr>
          <w:lang w:val="ru-RU"/>
        </w:rPr>
        <w:t xml:space="preserve"> — </w:t>
      </w:r>
      <w:proofErr w:type="spellStart"/>
      <w:r w:rsidR="003D0081" w:rsidRPr="003D0081">
        <w:rPr>
          <w:lang w:val="ru-RU"/>
        </w:rPr>
        <w:t>даруги</w:t>
      </w:r>
      <w:proofErr w:type="spellEnd"/>
      <w:r w:rsidR="003D0081" w:rsidRPr="003D0081">
        <w:rPr>
          <w:lang w:val="ru-RU"/>
        </w:rPr>
        <w:t xml:space="preserve"> Исфахана, который был очевидцем переломных моментов в истории династии </w:t>
      </w:r>
      <w:proofErr w:type="spellStart"/>
      <w:r w:rsidR="003D0081" w:rsidRPr="003D0081">
        <w:rPr>
          <w:lang w:val="ru-RU"/>
        </w:rPr>
        <w:t>Сафавидов</w:t>
      </w:r>
      <w:proofErr w:type="spellEnd"/>
      <w:r w:rsidR="003D0081" w:rsidRPr="003D0081">
        <w:rPr>
          <w:lang w:val="ru-RU"/>
        </w:rPr>
        <w:t xml:space="preserve">; Бери </w:t>
      </w:r>
      <w:proofErr w:type="spellStart"/>
      <w:r w:rsidR="003D0081" w:rsidRPr="003D0081">
        <w:rPr>
          <w:lang w:val="ru-RU"/>
        </w:rPr>
        <w:t>Эгнаташвили</w:t>
      </w:r>
      <w:proofErr w:type="spellEnd"/>
      <w:r w:rsidR="003D0081" w:rsidRPr="003D0081">
        <w:rPr>
          <w:lang w:val="ru-RU"/>
        </w:rPr>
        <w:t xml:space="preserve">, </w:t>
      </w:r>
      <w:proofErr w:type="spellStart"/>
      <w:r w:rsidR="003D0081" w:rsidRPr="003D0081">
        <w:rPr>
          <w:lang w:val="ru-RU"/>
        </w:rPr>
        <w:t>азнаур</w:t>
      </w:r>
      <w:r w:rsidR="002704E8">
        <w:rPr>
          <w:lang w:val="ru-RU"/>
        </w:rPr>
        <w:t>а</w:t>
      </w:r>
      <w:proofErr w:type="spellEnd"/>
      <w:r w:rsidR="003D0081" w:rsidRPr="003D0081">
        <w:rPr>
          <w:lang w:val="ru-RU"/>
        </w:rPr>
        <w:t xml:space="preserve"> по происхождению</w:t>
      </w:r>
      <w:r w:rsidR="002704E8">
        <w:rPr>
          <w:lang w:val="ru-RU"/>
        </w:rPr>
        <w:t xml:space="preserve"> и одного</w:t>
      </w:r>
      <w:r w:rsidR="003D0081" w:rsidRPr="003D0081">
        <w:rPr>
          <w:lang w:val="ru-RU"/>
        </w:rPr>
        <w:t xml:space="preserve"> из составителей </w:t>
      </w:r>
      <w:r w:rsidR="002704E8">
        <w:rPr>
          <w:lang w:val="ru-RU"/>
        </w:rPr>
        <w:t xml:space="preserve">труда </w:t>
      </w:r>
      <w:r w:rsidR="003D0081" w:rsidRPr="003D0081">
        <w:rPr>
          <w:lang w:val="ru-RU"/>
        </w:rPr>
        <w:t xml:space="preserve">«Ахали </w:t>
      </w:r>
      <w:proofErr w:type="spellStart"/>
      <w:r w:rsidR="003D0081" w:rsidRPr="003D0081">
        <w:rPr>
          <w:lang w:val="ru-RU"/>
        </w:rPr>
        <w:t>Картлис</w:t>
      </w:r>
      <w:proofErr w:type="spellEnd"/>
      <w:r w:rsidR="003D0081" w:rsidRPr="003D0081">
        <w:rPr>
          <w:lang w:val="ru-RU"/>
        </w:rPr>
        <w:t xml:space="preserve"> </w:t>
      </w:r>
      <w:proofErr w:type="spellStart"/>
      <w:r w:rsidR="003D0081" w:rsidRPr="003D0081">
        <w:rPr>
          <w:lang w:val="ru-RU"/>
        </w:rPr>
        <w:t>Цховреба</w:t>
      </w:r>
      <w:proofErr w:type="spellEnd"/>
      <w:r w:rsidR="003D0081" w:rsidRPr="003D0081">
        <w:rPr>
          <w:lang w:val="ru-RU"/>
        </w:rPr>
        <w:t>», описывающе</w:t>
      </w:r>
      <w:r w:rsidR="002704E8">
        <w:rPr>
          <w:lang w:val="ru-RU"/>
        </w:rPr>
        <w:t>го</w:t>
      </w:r>
      <w:r w:rsidR="003D0081" w:rsidRPr="003D0081">
        <w:rPr>
          <w:lang w:val="ru-RU"/>
        </w:rPr>
        <w:t xml:space="preserve"> историю Грузии </w:t>
      </w:r>
      <w:r w:rsidR="003D0081" w:rsidRPr="003D0081">
        <w:rPr>
          <w:lang w:val="da-DK"/>
        </w:rPr>
        <w:t>XIV-XVII</w:t>
      </w:r>
      <w:r w:rsidR="003D0081" w:rsidRPr="003D0081">
        <w:t>I</w:t>
      </w:r>
      <w:r w:rsidR="003D0081" w:rsidRPr="003D0081">
        <w:rPr>
          <w:lang w:val="ru-RU"/>
        </w:rPr>
        <w:t xml:space="preserve"> вв.</w:t>
      </w:r>
      <w:r w:rsidR="002704E8">
        <w:rPr>
          <w:lang w:val="ru-RU"/>
        </w:rPr>
        <w:t xml:space="preserve">; </w:t>
      </w:r>
      <w:r w:rsidR="003D0081" w:rsidRPr="003D0081">
        <w:rPr>
          <w:color w:val="000000"/>
          <w:lang w:val="ru-RU" w:eastAsia="ru-RU"/>
        </w:rPr>
        <w:t xml:space="preserve">Жизнь царей» </w:t>
      </w:r>
      <w:proofErr w:type="spellStart"/>
      <w:r w:rsidR="003D0081" w:rsidRPr="003D0081">
        <w:rPr>
          <w:color w:val="000000"/>
          <w:lang w:val="ru-RU" w:eastAsia="ru-RU"/>
        </w:rPr>
        <w:t>моларетухуцеси</w:t>
      </w:r>
      <w:proofErr w:type="spellEnd"/>
      <w:r w:rsidR="003D0081" w:rsidRPr="003D0081">
        <w:rPr>
          <w:color w:val="000000"/>
          <w:lang w:val="ru-RU" w:eastAsia="ru-RU"/>
        </w:rPr>
        <w:t xml:space="preserve"> (главн</w:t>
      </w:r>
      <w:r w:rsidR="003D0081" w:rsidRPr="003D0081">
        <w:rPr>
          <w:lang w:val="ru-RU"/>
        </w:rPr>
        <w:t>ого</w:t>
      </w:r>
      <w:r w:rsidR="003D0081" w:rsidRPr="003D0081">
        <w:rPr>
          <w:color w:val="000000"/>
          <w:lang w:val="ru-RU" w:eastAsia="ru-RU"/>
        </w:rPr>
        <w:t xml:space="preserve"> казначе</w:t>
      </w:r>
      <w:r w:rsidR="003D0081" w:rsidRPr="003D0081">
        <w:rPr>
          <w:lang w:val="ru-RU"/>
        </w:rPr>
        <w:t>я</w:t>
      </w:r>
      <w:r w:rsidR="003D0081" w:rsidRPr="003D0081">
        <w:rPr>
          <w:color w:val="000000"/>
          <w:lang w:val="ru-RU" w:eastAsia="ru-RU"/>
        </w:rPr>
        <w:t xml:space="preserve">) </w:t>
      </w:r>
      <w:proofErr w:type="spellStart"/>
      <w:r w:rsidR="003D0081" w:rsidRPr="003D0081">
        <w:rPr>
          <w:color w:val="000000"/>
          <w:lang w:val="ru-RU" w:eastAsia="ru-RU"/>
        </w:rPr>
        <w:t>Картли</w:t>
      </w:r>
      <w:r w:rsidR="003D0081" w:rsidRPr="003D0081">
        <w:rPr>
          <w:lang w:val="ru-RU"/>
        </w:rPr>
        <w:t>йского</w:t>
      </w:r>
      <w:proofErr w:type="spellEnd"/>
      <w:r w:rsidR="003D0081" w:rsidRPr="003D0081">
        <w:rPr>
          <w:color w:val="000000"/>
          <w:lang w:val="ru-RU" w:eastAsia="ru-RU"/>
        </w:rPr>
        <w:t xml:space="preserve"> царства — </w:t>
      </w:r>
      <w:proofErr w:type="spellStart"/>
      <w:r w:rsidR="003D0081" w:rsidRPr="003D0081">
        <w:rPr>
          <w:color w:val="000000"/>
          <w:lang w:val="ru-RU" w:eastAsia="ru-RU"/>
        </w:rPr>
        <w:t>Сехни</w:t>
      </w:r>
      <w:r w:rsidR="003D0081" w:rsidRPr="003D0081">
        <w:rPr>
          <w:lang w:val="ru-RU"/>
        </w:rPr>
        <w:t>и</w:t>
      </w:r>
      <w:proofErr w:type="spellEnd"/>
      <w:r w:rsidR="003D0081" w:rsidRPr="003D0081">
        <w:rPr>
          <w:color w:val="000000"/>
          <w:lang w:val="ru-RU" w:eastAsia="ru-RU"/>
        </w:rPr>
        <w:t xml:space="preserve"> Чхеидзе (1670-1745)</w:t>
      </w:r>
      <w:r w:rsidR="003D0081" w:rsidRPr="003D0081">
        <w:rPr>
          <w:lang w:val="ru-RU"/>
        </w:rPr>
        <w:t xml:space="preserve">; </w:t>
      </w:r>
      <w:proofErr w:type="spellStart"/>
      <w:r w:rsidR="003D0081" w:rsidRPr="003D0081">
        <w:rPr>
          <w:lang w:val="ru-RU"/>
        </w:rPr>
        <w:t>Вахушти</w:t>
      </w:r>
      <w:proofErr w:type="spellEnd"/>
      <w:r w:rsidR="003D0081" w:rsidRPr="003D0081">
        <w:rPr>
          <w:lang w:val="ru-RU"/>
        </w:rPr>
        <w:t xml:space="preserve"> Багратиони (1696-1757) — историк</w:t>
      </w:r>
      <w:r w:rsidR="002704E8">
        <w:rPr>
          <w:lang w:val="ru-RU"/>
        </w:rPr>
        <w:t>а</w:t>
      </w:r>
      <w:r w:rsidR="003D0081" w:rsidRPr="003D0081">
        <w:rPr>
          <w:lang w:val="ru-RU"/>
        </w:rPr>
        <w:t xml:space="preserve"> и географ</w:t>
      </w:r>
      <w:r w:rsidR="002704E8">
        <w:rPr>
          <w:lang w:val="ru-RU"/>
        </w:rPr>
        <w:t>а</w:t>
      </w:r>
      <w:r w:rsidR="003D0081" w:rsidRPr="003D0081">
        <w:rPr>
          <w:lang w:val="ru-RU"/>
        </w:rPr>
        <w:t>, сын</w:t>
      </w:r>
      <w:r w:rsidR="002704E8">
        <w:rPr>
          <w:lang w:val="ru-RU"/>
        </w:rPr>
        <w:t>а</w:t>
      </w:r>
      <w:r w:rsidR="003D0081" w:rsidRPr="003D0081">
        <w:rPr>
          <w:lang w:val="ru-RU"/>
        </w:rPr>
        <w:t xml:space="preserve"> царя Вахтанга </w:t>
      </w:r>
      <w:r w:rsidR="003D0081" w:rsidRPr="003D0081">
        <w:t>V</w:t>
      </w:r>
      <w:r w:rsidR="003D0081" w:rsidRPr="003D0081">
        <w:rPr>
          <w:lang w:val="ru-RU"/>
        </w:rPr>
        <w:t>.</w:t>
      </w:r>
    </w:p>
    <w:p w:rsidR="00C52D99" w:rsidRDefault="009827B4" w:rsidP="00C52D99">
      <w:pPr>
        <w:rPr>
          <w:shd w:val="clear" w:color="auto" w:fill="FFFFFF"/>
          <w:lang w:val="ru-RU"/>
        </w:rPr>
      </w:pPr>
      <w:r w:rsidRPr="00C40D57">
        <w:rPr>
          <w:shd w:val="clear" w:color="auto" w:fill="FFFFFF"/>
          <w:lang w:val="ru-RU"/>
        </w:rPr>
        <w:t xml:space="preserve">Представленные сведения ранее не подвергались анализу и не рассматривались </w:t>
      </w:r>
      <w:r w:rsidR="00FA31A0">
        <w:rPr>
          <w:shd w:val="clear" w:color="auto" w:fill="FFFFFF"/>
          <w:lang w:val="ru-RU"/>
        </w:rPr>
        <w:t xml:space="preserve">в контексте </w:t>
      </w:r>
      <w:r w:rsidR="00560978">
        <w:rPr>
          <w:shd w:val="clear" w:color="auto" w:fill="FFFFFF"/>
          <w:lang w:val="ru-RU"/>
        </w:rPr>
        <w:t xml:space="preserve">организации бюрократического аппарата в грузинских царствах Картли и </w:t>
      </w:r>
      <w:proofErr w:type="spellStart"/>
      <w:r w:rsidR="00560978">
        <w:rPr>
          <w:shd w:val="clear" w:color="auto" w:fill="FFFFFF"/>
          <w:lang w:val="ru-RU"/>
        </w:rPr>
        <w:t>Кахети</w:t>
      </w:r>
      <w:proofErr w:type="spellEnd"/>
      <w:r w:rsidR="00FA31A0">
        <w:rPr>
          <w:shd w:val="clear" w:color="auto" w:fill="FFFFFF"/>
          <w:lang w:val="ru-RU"/>
        </w:rPr>
        <w:t>.</w:t>
      </w:r>
      <w:r w:rsidR="00560978">
        <w:rPr>
          <w:shd w:val="clear" w:color="auto" w:fill="FFFFFF"/>
          <w:lang w:val="ru-RU"/>
        </w:rPr>
        <w:t xml:space="preserve"> Благодаря комплексному анализу источников удалось воссоздать </w:t>
      </w:r>
      <w:r w:rsidR="002704E8">
        <w:rPr>
          <w:shd w:val="clear" w:color="auto" w:fill="FFFFFF"/>
          <w:lang w:val="ru-RU"/>
        </w:rPr>
        <w:t>процесс и трансформацию внутреннего устройства вилайета.</w:t>
      </w:r>
    </w:p>
    <w:p w:rsidR="00C52D99" w:rsidRPr="00560978" w:rsidRDefault="00241E4A" w:rsidP="00C52D99">
      <w:pPr>
        <w:jc w:val="center"/>
        <w:rPr>
          <w:b/>
          <w:bCs/>
          <w:shd w:val="clear" w:color="auto" w:fill="FFFFFF"/>
          <w:lang w:val="ru-RU"/>
        </w:rPr>
      </w:pPr>
      <w:r>
        <w:rPr>
          <w:b/>
          <w:bCs/>
          <w:shd w:val="clear" w:color="auto" w:fill="FFFFFF"/>
          <w:lang w:val="ru-RU"/>
        </w:rPr>
        <w:t>Источники и л</w:t>
      </w:r>
      <w:r w:rsidRPr="00560978">
        <w:rPr>
          <w:b/>
          <w:bCs/>
          <w:shd w:val="clear" w:color="auto" w:fill="FFFFFF"/>
          <w:lang w:val="ru-RU"/>
        </w:rPr>
        <w:t>итература</w:t>
      </w:r>
    </w:p>
    <w:p w:rsidR="00C52D99" w:rsidRDefault="00B8694D" w:rsidP="00C52D99">
      <w:pPr>
        <w:pStyle w:val="af"/>
        <w:numPr>
          <w:ilvl w:val="0"/>
          <w:numId w:val="5"/>
        </w:numPr>
        <w:ind w:left="709" w:hanging="709"/>
        <w:rPr>
          <w:lang w:eastAsia="ru-RU"/>
        </w:rPr>
      </w:pPr>
      <w:proofErr w:type="spellStart"/>
      <w:r w:rsidRPr="00C52D99">
        <w:rPr>
          <w:lang w:val="ru-RU" w:eastAsia="ru-RU"/>
        </w:rPr>
        <w:t>Бердзенишвили</w:t>
      </w:r>
      <w:proofErr w:type="spellEnd"/>
      <w:r w:rsidRPr="000B226A">
        <w:rPr>
          <w:lang w:val="ru-RU" w:eastAsia="ru-RU"/>
        </w:rPr>
        <w:t xml:space="preserve"> </w:t>
      </w:r>
      <w:r w:rsidRPr="00C52D99">
        <w:rPr>
          <w:lang w:val="ru-RU" w:eastAsia="ru-RU"/>
        </w:rPr>
        <w:t>Н</w:t>
      </w:r>
      <w:r w:rsidRPr="000B226A">
        <w:rPr>
          <w:lang w:val="ru-RU" w:eastAsia="ru-RU"/>
        </w:rPr>
        <w:t xml:space="preserve">. </w:t>
      </w:r>
      <w:r w:rsidRPr="00C52D99">
        <w:rPr>
          <w:lang w:val="ru-RU" w:eastAsia="ru-RU"/>
        </w:rPr>
        <w:t>Вопросы</w:t>
      </w:r>
      <w:r w:rsidRPr="000B226A">
        <w:rPr>
          <w:lang w:val="ru-RU" w:eastAsia="ru-RU"/>
        </w:rPr>
        <w:t xml:space="preserve"> </w:t>
      </w:r>
      <w:r w:rsidRPr="00C52D99">
        <w:rPr>
          <w:lang w:val="ru-RU" w:eastAsia="ru-RU"/>
        </w:rPr>
        <w:t>истории</w:t>
      </w:r>
      <w:r w:rsidRPr="000B226A">
        <w:rPr>
          <w:lang w:val="ru-RU" w:eastAsia="ru-RU"/>
        </w:rPr>
        <w:t xml:space="preserve"> </w:t>
      </w:r>
      <w:r w:rsidRPr="00C52D99">
        <w:rPr>
          <w:lang w:val="ru-RU" w:eastAsia="ru-RU"/>
        </w:rPr>
        <w:t>Грузии</w:t>
      </w:r>
      <w:r w:rsidRPr="000B226A">
        <w:rPr>
          <w:lang w:val="ru-RU" w:eastAsia="ru-RU"/>
        </w:rPr>
        <w:t xml:space="preserve"> </w:t>
      </w:r>
      <w:r w:rsidRPr="00C52D99">
        <w:rPr>
          <w:lang w:eastAsia="ru-RU"/>
        </w:rPr>
        <w:t>VI</w:t>
      </w:r>
      <w:r w:rsidRPr="000B226A">
        <w:rPr>
          <w:lang w:val="ru-RU"/>
        </w:rPr>
        <w:t>.</w:t>
      </w:r>
      <w:r w:rsidRPr="000B226A">
        <w:rPr>
          <w:lang w:val="ru-RU" w:eastAsia="ru-RU"/>
        </w:rPr>
        <w:t xml:space="preserve"> </w:t>
      </w:r>
      <w:r w:rsidRPr="00C52D99">
        <w:rPr>
          <w:lang w:val="ru-RU" w:eastAsia="ru-RU"/>
        </w:rPr>
        <w:t>Тбилиси</w:t>
      </w:r>
      <w:r w:rsidRPr="00C52D99">
        <w:rPr>
          <w:lang w:eastAsia="ru-RU"/>
        </w:rPr>
        <w:t xml:space="preserve">, 1973. </w:t>
      </w:r>
      <w:r w:rsidRPr="00C52D99">
        <w:t>(</w:t>
      </w:r>
      <w:proofErr w:type="spellStart"/>
      <w:r w:rsidRPr="00C52D99">
        <w:rPr>
          <w:rFonts w:ascii="Sylfaen" w:hAnsi="Sylfaen" w:cs="Sylfaen"/>
          <w:lang w:val="ru-RU" w:eastAsia="ru-RU"/>
        </w:rPr>
        <w:t>ბერძენიშვილი</w:t>
      </w:r>
      <w:proofErr w:type="spellEnd"/>
      <w:r w:rsidRPr="00C52D99">
        <w:rPr>
          <w:lang w:eastAsia="ru-RU"/>
        </w:rPr>
        <w:t xml:space="preserve"> </w:t>
      </w:r>
      <w:r w:rsidRPr="00C52D99">
        <w:rPr>
          <w:rFonts w:ascii="Sylfaen" w:hAnsi="Sylfaen" w:cs="Sylfaen"/>
          <w:lang w:val="ru-RU" w:eastAsia="ru-RU"/>
        </w:rPr>
        <w:t>ნ</w:t>
      </w:r>
      <w:r w:rsidRPr="00C52D99">
        <w:rPr>
          <w:lang w:eastAsia="ru-RU"/>
        </w:rPr>
        <w:t xml:space="preserve">. </w:t>
      </w:r>
      <w:proofErr w:type="spellStart"/>
      <w:r w:rsidRPr="00C52D99">
        <w:rPr>
          <w:rFonts w:ascii="Sylfaen" w:hAnsi="Sylfaen" w:cs="Sylfaen"/>
          <w:lang w:val="ru-RU" w:eastAsia="ru-RU"/>
        </w:rPr>
        <w:t>საქართველოს</w:t>
      </w:r>
      <w:proofErr w:type="spellEnd"/>
      <w:r w:rsidRPr="00C52D99">
        <w:rPr>
          <w:lang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ისტორიის</w:t>
      </w:r>
      <w:proofErr w:type="spellEnd"/>
      <w:r w:rsidRPr="00C52D99">
        <w:rPr>
          <w:lang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კითხვები</w:t>
      </w:r>
      <w:proofErr w:type="spellEnd"/>
      <w:r w:rsidRPr="00C52D99">
        <w:rPr>
          <w:lang w:eastAsia="ru-RU"/>
        </w:rPr>
        <w:t xml:space="preserve"> VI. </w:t>
      </w:r>
      <w:proofErr w:type="spellStart"/>
      <w:r w:rsidRPr="00C52D99">
        <w:rPr>
          <w:rFonts w:ascii="Sylfaen" w:hAnsi="Sylfaen" w:cs="Sylfaen"/>
          <w:lang w:val="ru-RU" w:eastAsia="ru-RU"/>
        </w:rPr>
        <w:t>თბილისი</w:t>
      </w:r>
      <w:proofErr w:type="spellEnd"/>
      <w:r w:rsidRPr="00C52D99">
        <w:rPr>
          <w:lang w:eastAsia="ru-RU"/>
        </w:rPr>
        <w:t>, 1973</w:t>
      </w:r>
      <w:r w:rsidRPr="00C52D99">
        <w:t>)</w:t>
      </w:r>
      <w:r w:rsidRPr="00C52D99">
        <w:rPr>
          <w:lang w:eastAsia="ru-RU"/>
        </w:rPr>
        <w:t>.</w:t>
      </w:r>
    </w:p>
    <w:p w:rsidR="00C52D99" w:rsidRPr="00C52D99" w:rsidRDefault="00B8694D" w:rsidP="00C52D99">
      <w:pPr>
        <w:pStyle w:val="af"/>
        <w:numPr>
          <w:ilvl w:val="0"/>
          <w:numId w:val="5"/>
        </w:numPr>
        <w:ind w:left="709" w:hanging="709"/>
        <w:rPr>
          <w:lang w:val="ru-RU" w:eastAsia="ru-RU"/>
        </w:rPr>
      </w:pPr>
      <w:proofErr w:type="spellStart"/>
      <w:r w:rsidRPr="00C52D99">
        <w:rPr>
          <w:lang w:val="ru-RU" w:eastAsia="ru-RU"/>
        </w:rPr>
        <w:t>Габашвили</w:t>
      </w:r>
      <w:proofErr w:type="spellEnd"/>
      <w:r w:rsidRPr="00C52D99">
        <w:rPr>
          <w:lang w:val="ru-RU" w:eastAsia="ru-RU"/>
        </w:rPr>
        <w:t xml:space="preserve"> В. Феодальный строй Грузии XVI-XVIII веков. Тбилиси</w:t>
      </w:r>
      <w:r w:rsidR="00C52D99">
        <w:rPr>
          <w:lang w:val="ru-RU" w:eastAsia="ru-RU"/>
        </w:rPr>
        <w:t>,</w:t>
      </w:r>
      <w:r w:rsidRPr="00C52D99">
        <w:rPr>
          <w:lang w:val="ru-RU" w:eastAsia="ru-RU"/>
        </w:rPr>
        <w:t xml:space="preserve"> 1958. (</w:t>
      </w:r>
      <w:proofErr w:type="spellStart"/>
      <w:r w:rsidRPr="00C52D99">
        <w:rPr>
          <w:rFonts w:ascii="Sylfaen" w:hAnsi="Sylfaen" w:cs="Sylfaen"/>
          <w:lang w:val="ru-RU" w:eastAsia="ru-RU"/>
        </w:rPr>
        <w:t>ქართული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ფეოდალური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წყობილება</w:t>
      </w:r>
      <w:proofErr w:type="spellEnd"/>
      <w:r w:rsidRPr="00C52D99">
        <w:rPr>
          <w:lang w:val="ru-RU" w:eastAsia="ru-RU"/>
        </w:rPr>
        <w:t xml:space="preserve"> XVI-XVII </w:t>
      </w:r>
      <w:proofErr w:type="spellStart"/>
      <w:r w:rsidRPr="00C52D99">
        <w:rPr>
          <w:rFonts w:ascii="Sylfaen" w:hAnsi="Sylfaen" w:cs="Sylfaen"/>
          <w:lang w:val="ru-RU" w:eastAsia="ru-RU"/>
        </w:rPr>
        <w:t>საუკუნეებში</w:t>
      </w:r>
      <w:proofErr w:type="spellEnd"/>
      <w:r w:rsidRPr="00C52D99">
        <w:rPr>
          <w:lang w:val="ru-RU" w:eastAsia="ru-RU"/>
        </w:rPr>
        <w:t xml:space="preserve">. </w:t>
      </w:r>
      <w:proofErr w:type="spellStart"/>
      <w:r w:rsidRPr="00C52D99">
        <w:rPr>
          <w:rFonts w:ascii="Sylfaen" w:hAnsi="Sylfaen" w:cs="Sylfaen"/>
          <w:lang w:val="ru-RU" w:eastAsia="ru-RU"/>
        </w:rPr>
        <w:t>თბილისი</w:t>
      </w:r>
      <w:proofErr w:type="spellEnd"/>
      <w:r w:rsidRPr="00C52D99">
        <w:rPr>
          <w:lang w:val="ru-RU" w:eastAsia="ru-RU"/>
        </w:rPr>
        <w:t>, 1958</w:t>
      </w:r>
      <w:r w:rsidRPr="00C52D99">
        <w:rPr>
          <w:lang w:val="ru-RU"/>
        </w:rPr>
        <w:t>)</w:t>
      </w:r>
      <w:r w:rsidRPr="00C52D99">
        <w:rPr>
          <w:lang w:val="ru-RU" w:eastAsia="ru-RU"/>
        </w:rPr>
        <w:t>.</w:t>
      </w:r>
    </w:p>
    <w:p w:rsidR="00C52D99" w:rsidRPr="00C52D99" w:rsidRDefault="004B5799" w:rsidP="00C52D99">
      <w:pPr>
        <w:pStyle w:val="af"/>
        <w:numPr>
          <w:ilvl w:val="0"/>
          <w:numId w:val="5"/>
        </w:numPr>
        <w:ind w:left="709" w:hanging="709"/>
        <w:rPr>
          <w:lang w:val="ru-RU"/>
        </w:rPr>
      </w:pPr>
      <w:proofErr w:type="spellStart"/>
      <w:r w:rsidRPr="00C52D99">
        <w:rPr>
          <w:color w:val="000000"/>
          <w:lang w:val="ru-RU" w:eastAsia="ru-RU"/>
        </w:rPr>
        <w:t>Жоржолиани</w:t>
      </w:r>
      <w:proofErr w:type="spellEnd"/>
      <w:r w:rsidRPr="00C52D99">
        <w:rPr>
          <w:color w:val="000000"/>
          <w:lang w:val="ru-RU" w:eastAsia="ru-RU"/>
        </w:rPr>
        <w:t xml:space="preserve"> Г. Грузия в 30-50 гг. XVII в. (Картли-</w:t>
      </w:r>
      <w:proofErr w:type="spellStart"/>
      <w:r w:rsidRPr="00C52D99">
        <w:rPr>
          <w:color w:val="000000"/>
          <w:lang w:val="ru-RU" w:eastAsia="ru-RU"/>
        </w:rPr>
        <w:t>Кахети</w:t>
      </w:r>
      <w:proofErr w:type="spellEnd"/>
      <w:r w:rsidRPr="00C52D99">
        <w:rPr>
          <w:color w:val="000000"/>
          <w:lang w:val="ru-RU" w:eastAsia="ru-RU"/>
        </w:rPr>
        <w:t>). Тбилиси, 1987 г. (</w:t>
      </w:r>
      <w:r w:rsidRPr="00C52D99">
        <w:rPr>
          <w:rFonts w:ascii="Sylfaen" w:hAnsi="Sylfaen" w:cs="Sylfaen"/>
          <w:color w:val="000000"/>
          <w:lang w:val="ru-RU" w:eastAsia="ru-RU"/>
        </w:rPr>
        <w:t>გ</w:t>
      </w:r>
      <w:r w:rsidRPr="00C52D99">
        <w:rPr>
          <w:color w:val="000000"/>
          <w:lang w:val="ru-RU" w:eastAsia="ru-RU"/>
        </w:rPr>
        <w:t xml:space="preserve">. </w:t>
      </w:r>
      <w:proofErr w:type="spellStart"/>
      <w:r w:rsidRPr="00C52D99">
        <w:rPr>
          <w:rFonts w:ascii="Sylfaen" w:hAnsi="Sylfaen" w:cs="Sylfaen"/>
          <w:color w:val="000000"/>
          <w:lang w:val="ru-RU" w:eastAsia="ru-RU"/>
        </w:rPr>
        <w:t>ჟორჟოლიანი</w:t>
      </w:r>
      <w:proofErr w:type="spellEnd"/>
      <w:r w:rsidRPr="00C52D99">
        <w:rPr>
          <w:color w:val="000000"/>
          <w:lang w:val="ru-RU" w:eastAsia="ru-RU"/>
        </w:rPr>
        <w:t xml:space="preserve">. </w:t>
      </w:r>
      <w:proofErr w:type="spellStart"/>
      <w:r w:rsidRPr="00C52D99">
        <w:rPr>
          <w:rFonts w:ascii="Sylfaen" w:hAnsi="Sylfaen" w:cs="Sylfaen"/>
          <w:color w:val="000000"/>
          <w:lang w:val="ru-RU" w:eastAsia="ru-RU"/>
        </w:rPr>
        <w:t>საქართველო</w:t>
      </w:r>
      <w:proofErr w:type="spellEnd"/>
      <w:r w:rsidRPr="00C52D99">
        <w:rPr>
          <w:color w:val="000000"/>
          <w:lang w:val="ru-RU" w:eastAsia="ru-RU"/>
        </w:rPr>
        <w:t xml:space="preserve"> XVII </w:t>
      </w:r>
      <w:proofErr w:type="spellStart"/>
      <w:r w:rsidRPr="00C52D99">
        <w:rPr>
          <w:rFonts w:ascii="Sylfaen" w:hAnsi="Sylfaen" w:cs="Sylfaen"/>
          <w:color w:val="000000"/>
          <w:lang w:val="ru-RU" w:eastAsia="ru-RU"/>
        </w:rPr>
        <w:t>საუკუნის</w:t>
      </w:r>
      <w:proofErr w:type="spellEnd"/>
      <w:r w:rsidRPr="00C52D99">
        <w:rPr>
          <w:color w:val="000000"/>
          <w:lang w:val="ru-RU" w:eastAsia="ru-RU"/>
        </w:rPr>
        <w:t xml:space="preserve"> 30-50-</w:t>
      </w:r>
      <w:r w:rsidRPr="00C52D99">
        <w:rPr>
          <w:rFonts w:ascii="Sylfaen" w:hAnsi="Sylfaen" w:cs="Sylfaen"/>
          <w:color w:val="000000"/>
          <w:lang w:val="ru-RU" w:eastAsia="ru-RU"/>
        </w:rPr>
        <w:t>იან</w:t>
      </w:r>
      <w:r w:rsidRPr="00C52D99">
        <w:rPr>
          <w:color w:val="000000"/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color w:val="000000"/>
          <w:lang w:val="ru-RU" w:eastAsia="ru-RU"/>
        </w:rPr>
        <w:t>წლებში</w:t>
      </w:r>
      <w:proofErr w:type="spellEnd"/>
      <w:r w:rsidRPr="00C52D99">
        <w:rPr>
          <w:color w:val="000000"/>
          <w:lang w:val="ru-RU" w:eastAsia="ru-RU"/>
        </w:rPr>
        <w:t xml:space="preserve"> (</w:t>
      </w:r>
      <w:proofErr w:type="spellStart"/>
      <w:r w:rsidRPr="00C52D99">
        <w:rPr>
          <w:rFonts w:ascii="Sylfaen" w:hAnsi="Sylfaen" w:cs="Sylfaen"/>
          <w:color w:val="000000"/>
          <w:lang w:val="ru-RU" w:eastAsia="ru-RU"/>
        </w:rPr>
        <w:t>ქართლ</w:t>
      </w:r>
      <w:r w:rsidRPr="00C52D99">
        <w:rPr>
          <w:color w:val="000000"/>
          <w:lang w:val="ru-RU" w:eastAsia="ru-RU"/>
        </w:rPr>
        <w:t>-</w:t>
      </w:r>
      <w:r w:rsidRPr="00C52D99">
        <w:rPr>
          <w:rFonts w:ascii="Sylfaen" w:hAnsi="Sylfaen" w:cs="Sylfaen"/>
          <w:color w:val="000000"/>
          <w:lang w:val="ru-RU" w:eastAsia="ru-RU"/>
        </w:rPr>
        <w:t>კახეთი</w:t>
      </w:r>
      <w:proofErr w:type="spellEnd"/>
      <w:r w:rsidRPr="00C52D99">
        <w:rPr>
          <w:color w:val="000000"/>
          <w:lang w:val="ru-RU" w:eastAsia="ru-RU"/>
        </w:rPr>
        <w:t xml:space="preserve">). </w:t>
      </w:r>
      <w:proofErr w:type="spellStart"/>
      <w:r w:rsidRPr="00C52D99">
        <w:rPr>
          <w:rFonts w:ascii="Sylfaen" w:hAnsi="Sylfaen" w:cs="Sylfaen"/>
          <w:color w:val="000000"/>
          <w:lang w:val="ru-RU" w:eastAsia="ru-RU"/>
        </w:rPr>
        <w:t>თბილისი</w:t>
      </w:r>
      <w:proofErr w:type="spellEnd"/>
      <w:r w:rsidRPr="00C52D99">
        <w:rPr>
          <w:color w:val="000000"/>
          <w:lang w:val="ru-RU" w:eastAsia="ru-RU"/>
        </w:rPr>
        <w:t>, 1987)</w:t>
      </w:r>
      <w:r w:rsidRPr="00C52D99">
        <w:rPr>
          <w:lang w:val="ru-RU"/>
        </w:rPr>
        <w:t>.</w:t>
      </w:r>
    </w:p>
    <w:p w:rsidR="00C52D99" w:rsidRPr="00C52D99" w:rsidRDefault="00B8694D" w:rsidP="00C52D99">
      <w:pPr>
        <w:pStyle w:val="af"/>
        <w:numPr>
          <w:ilvl w:val="0"/>
          <w:numId w:val="5"/>
        </w:numPr>
        <w:ind w:left="709" w:hanging="709"/>
        <w:rPr>
          <w:lang w:val="ru-RU"/>
        </w:rPr>
      </w:pPr>
      <w:proofErr w:type="spellStart"/>
      <w:r w:rsidRPr="00C52D99">
        <w:rPr>
          <w:lang w:val="ru-RU" w:eastAsia="ru-RU"/>
        </w:rPr>
        <w:t>Куция</w:t>
      </w:r>
      <w:proofErr w:type="spellEnd"/>
      <w:r w:rsidRPr="00C52D99">
        <w:rPr>
          <w:lang w:val="ru-RU" w:eastAsia="ru-RU"/>
        </w:rPr>
        <w:t xml:space="preserve"> К. Религиозный аспект отношений между </w:t>
      </w:r>
      <w:proofErr w:type="spellStart"/>
      <w:r w:rsidRPr="00C52D99">
        <w:rPr>
          <w:lang w:val="ru-RU" w:eastAsia="ru-RU"/>
        </w:rPr>
        <w:t>Сафавидским</w:t>
      </w:r>
      <w:proofErr w:type="spellEnd"/>
      <w:r w:rsidRPr="00C52D99">
        <w:rPr>
          <w:lang w:val="ru-RU" w:eastAsia="ru-RU"/>
        </w:rPr>
        <w:t xml:space="preserve"> Ираном и Восточной Грузией. Тбилиси, 2001. </w:t>
      </w:r>
      <w:r w:rsidRPr="00C52D99">
        <w:rPr>
          <w:lang w:val="ru-RU"/>
        </w:rPr>
        <w:t>(</w:t>
      </w:r>
      <w:proofErr w:type="spellStart"/>
      <w:r w:rsidRPr="00C52D99">
        <w:rPr>
          <w:rFonts w:ascii="Sylfaen" w:hAnsi="Sylfaen" w:cs="Sylfaen"/>
          <w:lang w:val="ru-RU" w:eastAsia="ru-RU"/>
        </w:rPr>
        <w:t>კუცია</w:t>
      </w:r>
      <w:proofErr w:type="spellEnd"/>
      <w:r w:rsidRPr="00C52D99">
        <w:rPr>
          <w:lang w:val="ru-RU" w:eastAsia="ru-RU"/>
        </w:rPr>
        <w:t xml:space="preserve"> </w:t>
      </w:r>
      <w:r w:rsidRPr="00C52D99">
        <w:rPr>
          <w:rFonts w:ascii="Sylfaen" w:hAnsi="Sylfaen" w:cs="Sylfaen"/>
          <w:lang w:val="ru-RU" w:eastAsia="ru-RU"/>
        </w:rPr>
        <w:t>კ</w:t>
      </w:r>
      <w:r w:rsidRPr="00C52D99">
        <w:rPr>
          <w:lang w:val="ru-RU" w:eastAsia="ru-RU"/>
        </w:rPr>
        <w:t xml:space="preserve">. </w:t>
      </w:r>
      <w:proofErr w:type="spellStart"/>
      <w:r w:rsidRPr="00C52D99">
        <w:rPr>
          <w:rFonts w:ascii="Sylfaen" w:hAnsi="Sylfaen" w:cs="Sylfaen"/>
          <w:lang w:val="ru-RU" w:eastAsia="ru-RU"/>
        </w:rPr>
        <w:t>სეფიანთა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ირანისა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და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lastRenderedPageBreak/>
        <w:t>აღმოსავლეთ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საქართველოს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ურთიერთობის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რელიგიური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ასპექტი</w:t>
      </w:r>
      <w:proofErr w:type="spellEnd"/>
      <w:r w:rsidRPr="00C52D99">
        <w:rPr>
          <w:lang w:val="ru-RU" w:eastAsia="ru-RU"/>
        </w:rPr>
        <w:t xml:space="preserve">. </w:t>
      </w:r>
      <w:proofErr w:type="spellStart"/>
      <w:r w:rsidRPr="00C52D99">
        <w:rPr>
          <w:rFonts w:ascii="Sylfaen" w:hAnsi="Sylfaen" w:cs="Sylfaen"/>
          <w:lang w:val="ru-RU" w:eastAsia="ru-RU"/>
        </w:rPr>
        <w:t>თბილისი</w:t>
      </w:r>
      <w:proofErr w:type="spellEnd"/>
      <w:r w:rsidRPr="00C52D99">
        <w:rPr>
          <w:lang w:val="ru-RU" w:eastAsia="ru-RU"/>
        </w:rPr>
        <w:t>, 2001</w:t>
      </w:r>
      <w:r w:rsidRPr="00C52D99">
        <w:rPr>
          <w:lang w:val="ru-RU"/>
        </w:rPr>
        <w:t>).</w:t>
      </w:r>
    </w:p>
    <w:p w:rsidR="00C52D99" w:rsidRPr="00C52D99" w:rsidRDefault="004B5799" w:rsidP="00C52D99">
      <w:pPr>
        <w:pStyle w:val="af"/>
        <w:numPr>
          <w:ilvl w:val="0"/>
          <w:numId w:val="5"/>
        </w:numPr>
        <w:ind w:left="709" w:hanging="709"/>
        <w:rPr>
          <w:lang w:val="ru-RU"/>
        </w:rPr>
      </w:pPr>
      <w:proofErr w:type="spellStart"/>
      <w:r w:rsidRPr="00C52D99">
        <w:rPr>
          <w:lang w:val="ru-RU"/>
        </w:rPr>
        <w:t>Петрушевскии</w:t>
      </w:r>
      <w:proofErr w:type="spellEnd"/>
      <w:r w:rsidRPr="00C52D99">
        <w:rPr>
          <w:lang w:val="ru-RU"/>
        </w:rPr>
        <w:t xml:space="preserve">̆ И. Очерки по истории феодальных отношений в Армении и </w:t>
      </w:r>
      <w:proofErr w:type="spellStart"/>
      <w:r w:rsidRPr="00C52D99">
        <w:rPr>
          <w:lang w:val="ru-RU"/>
        </w:rPr>
        <w:t>Азервайджане</w:t>
      </w:r>
      <w:proofErr w:type="spellEnd"/>
      <w:r w:rsidRPr="00C52D99">
        <w:rPr>
          <w:lang w:val="ru-RU"/>
        </w:rPr>
        <w:t xml:space="preserve"> в </w:t>
      </w:r>
      <w:r w:rsidRPr="00C52D99">
        <w:t>XVI</w:t>
      </w:r>
      <w:r w:rsidRPr="00C52D99">
        <w:rPr>
          <w:lang w:val="ru-RU"/>
        </w:rPr>
        <w:t xml:space="preserve"> - начале </w:t>
      </w:r>
      <w:r w:rsidRPr="00C52D99">
        <w:t>XIX</w:t>
      </w:r>
      <w:r w:rsidRPr="00C52D99">
        <w:rPr>
          <w:lang w:val="ru-RU"/>
        </w:rPr>
        <w:t xml:space="preserve"> вв. Ленинград, 1949.</w:t>
      </w:r>
    </w:p>
    <w:p w:rsidR="00B8694D" w:rsidRPr="00C52D99" w:rsidRDefault="004B5799" w:rsidP="00C52D99">
      <w:pPr>
        <w:pStyle w:val="af"/>
        <w:numPr>
          <w:ilvl w:val="0"/>
          <w:numId w:val="5"/>
        </w:numPr>
        <w:ind w:left="709" w:hanging="709"/>
        <w:rPr>
          <w:lang w:val="ru-RU" w:eastAsia="ru-RU"/>
        </w:rPr>
      </w:pPr>
      <w:proofErr w:type="spellStart"/>
      <w:r w:rsidRPr="00C52D99">
        <w:rPr>
          <w:lang w:val="ru-RU" w:eastAsia="ru-RU"/>
        </w:rPr>
        <w:t>Путуридзе</w:t>
      </w:r>
      <w:proofErr w:type="spellEnd"/>
      <w:r w:rsidRPr="00C52D99">
        <w:rPr>
          <w:lang w:val="ru-RU" w:eastAsia="ru-RU"/>
        </w:rPr>
        <w:t xml:space="preserve"> В. Грузино-персидски</w:t>
      </w:r>
      <w:r w:rsidRPr="00C52D99">
        <w:rPr>
          <w:lang w:val="ru-RU"/>
        </w:rPr>
        <w:t>е</w:t>
      </w:r>
      <w:r w:rsidRPr="00C52D99">
        <w:rPr>
          <w:lang w:val="ru-RU" w:eastAsia="ru-RU"/>
        </w:rPr>
        <w:t xml:space="preserve"> исторически</w:t>
      </w:r>
      <w:r w:rsidRPr="00C52D99">
        <w:rPr>
          <w:lang w:val="ru-RU"/>
        </w:rPr>
        <w:t>е</w:t>
      </w:r>
      <w:r w:rsidRPr="00C52D99">
        <w:rPr>
          <w:lang w:val="ru-RU" w:eastAsia="ru-RU"/>
        </w:rPr>
        <w:t xml:space="preserve"> документ</w:t>
      </w:r>
      <w:r w:rsidRPr="00C52D99">
        <w:rPr>
          <w:lang w:val="ru-RU"/>
        </w:rPr>
        <w:t>ы</w:t>
      </w:r>
      <w:r w:rsidRPr="00C52D99">
        <w:rPr>
          <w:lang w:val="ru-RU" w:eastAsia="ru-RU"/>
        </w:rPr>
        <w:t xml:space="preserve">. Тбилиси, 1955. </w:t>
      </w:r>
      <w:r w:rsidRPr="00C52D99">
        <w:rPr>
          <w:lang w:val="ru-RU"/>
        </w:rPr>
        <w:t>(</w:t>
      </w:r>
      <w:proofErr w:type="spellStart"/>
      <w:r w:rsidRPr="00C52D99">
        <w:rPr>
          <w:rFonts w:ascii="Sylfaen" w:hAnsi="Sylfaen" w:cs="Sylfaen"/>
          <w:lang w:val="ru-RU" w:eastAsia="ru-RU"/>
        </w:rPr>
        <w:t>ფუთურიძე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ვლ</w:t>
      </w:r>
      <w:proofErr w:type="spellEnd"/>
      <w:r w:rsidRPr="00C52D99">
        <w:rPr>
          <w:lang w:val="ru-RU" w:eastAsia="ru-RU"/>
        </w:rPr>
        <w:t xml:space="preserve">. </w:t>
      </w:r>
      <w:proofErr w:type="spellStart"/>
      <w:r w:rsidRPr="00C52D99">
        <w:rPr>
          <w:rFonts w:ascii="Sylfaen" w:hAnsi="Sylfaen" w:cs="Sylfaen"/>
          <w:lang w:val="ru-RU" w:eastAsia="ru-RU"/>
        </w:rPr>
        <w:t>ქართულ</w:t>
      </w:r>
      <w:r w:rsidRPr="00C52D99">
        <w:rPr>
          <w:lang w:val="ru-RU" w:eastAsia="ru-RU"/>
        </w:rPr>
        <w:t>-</w:t>
      </w:r>
      <w:r w:rsidRPr="00C52D99">
        <w:rPr>
          <w:rFonts w:ascii="Sylfaen" w:hAnsi="Sylfaen" w:cs="Sylfaen"/>
          <w:lang w:val="ru-RU" w:eastAsia="ru-RU"/>
        </w:rPr>
        <w:t>სპარსული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ისტორიული</w:t>
      </w:r>
      <w:proofErr w:type="spellEnd"/>
      <w:r w:rsidRPr="00C52D99">
        <w:rPr>
          <w:lang w:val="ru-RU" w:eastAsia="ru-RU"/>
        </w:rPr>
        <w:t xml:space="preserve"> </w:t>
      </w:r>
      <w:proofErr w:type="spellStart"/>
      <w:r w:rsidRPr="00C52D99">
        <w:rPr>
          <w:rFonts w:ascii="Sylfaen" w:hAnsi="Sylfaen" w:cs="Sylfaen"/>
          <w:lang w:val="ru-RU" w:eastAsia="ru-RU"/>
        </w:rPr>
        <w:t>საბუთი</w:t>
      </w:r>
      <w:proofErr w:type="spellEnd"/>
      <w:r w:rsidRPr="00C52D99">
        <w:rPr>
          <w:lang w:val="ru-RU" w:eastAsia="ru-RU"/>
        </w:rPr>
        <w:t xml:space="preserve">. </w:t>
      </w:r>
      <w:proofErr w:type="spellStart"/>
      <w:r w:rsidRPr="00C52D99">
        <w:rPr>
          <w:rFonts w:ascii="Sylfaen" w:hAnsi="Sylfaen" w:cs="Sylfaen"/>
          <w:lang w:val="ru-RU" w:eastAsia="ru-RU"/>
        </w:rPr>
        <w:t>თბილისი</w:t>
      </w:r>
      <w:proofErr w:type="spellEnd"/>
      <w:r w:rsidRPr="00C52D99">
        <w:rPr>
          <w:lang w:val="ru-RU" w:eastAsia="ru-RU"/>
        </w:rPr>
        <w:t>, 1955</w:t>
      </w:r>
      <w:r w:rsidRPr="00C52D99">
        <w:rPr>
          <w:lang w:val="ru-RU"/>
        </w:rPr>
        <w:t>)</w:t>
      </w:r>
      <w:r w:rsidRPr="00C52D99">
        <w:rPr>
          <w:lang w:val="ru-RU" w:eastAsia="ru-RU"/>
        </w:rPr>
        <w:t>.</w:t>
      </w:r>
    </w:p>
    <w:sectPr w:rsidR="00B8694D" w:rsidRPr="00C52D99" w:rsidSect="00241E4A">
      <w:headerReference w:type="default" r:id="rId9"/>
      <w:footerReference w:type="default" r:id="rId10"/>
      <w:pgSz w:w="11906" w:h="16838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3D7" w:rsidRDefault="009F53D7">
      <w:r>
        <w:separator/>
      </w:r>
    </w:p>
  </w:endnote>
  <w:endnote w:type="continuationSeparator" w:id="0">
    <w:p w:rsidR="009F53D7" w:rsidRDefault="009F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0A5" w:rsidRDefault="00000000">
    <w:pPr>
      <w:pStyle w:val="a5"/>
      <w:tabs>
        <w:tab w:val="clear" w:pos="9020"/>
        <w:tab w:val="center" w:pos="4592"/>
        <w:tab w:val="right" w:pos="9184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17107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3D7" w:rsidRDefault="009F53D7">
      <w:r>
        <w:separator/>
      </w:r>
    </w:p>
  </w:footnote>
  <w:footnote w:type="continuationSeparator" w:id="0">
    <w:p w:rsidR="009F53D7" w:rsidRDefault="009F53D7">
      <w:r>
        <w:continuationSeparator/>
      </w:r>
    </w:p>
  </w:footnote>
  <w:footnote w:type="continuationNotice" w:id="1">
    <w:p w:rsidR="009F53D7" w:rsidRDefault="009F53D7"/>
  </w:footnote>
  <w:footnote w:id="2">
    <w:p w:rsidR="008C259A" w:rsidRPr="008C259A" w:rsidRDefault="008C259A" w:rsidP="008C259A">
      <w:pPr>
        <w:pStyle w:val="ab"/>
        <w:rPr>
          <w:lang w:val="ru-RU"/>
        </w:rPr>
      </w:pPr>
      <w:r>
        <w:rPr>
          <w:rStyle w:val="ad"/>
        </w:rPr>
        <w:footnoteRef/>
      </w:r>
      <w:r w:rsidRPr="008C259A">
        <w:rPr>
          <w:lang w:val="ru-RU"/>
        </w:rPr>
        <w:t xml:space="preserve"> </w:t>
      </w:r>
      <w:r w:rsidRPr="008C259A">
        <w:rPr>
          <w:color w:val="000000"/>
          <w:lang w:val="ru-RU" w:eastAsia="ru-RU"/>
        </w:rPr>
        <w:t>Вали (араб.) — Правитель одного из четырех периферийных вилайетов Ирана (</w:t>
      </w:r>
      <w:proofErr w:type="spellStart"/>
      <w:r w:rsidRPr="008C259A">
        <w:rPr>
          <w:color w:val="000000"/>
          <w:lang w:val="ru-RU" w:eastAsia="ru-RU"/>
        </w:rPr>
        <w:t>Арабистана</w:t>
      </w:r>
      <w:proofErr w:type="spellEnd"/>
      <w:r w:rsidRPr="008C259A">
        <w:rPr>
          <w:color w:val="000000"/>
          <w:lang w:val="ru-RU" w:eastAsia="ru-RU"/>
        </w:rPr>
        <w:t xml:space="preserve">, </w:t>
      </w:r>
      <w:proofErr w:type="spellStart"/>
      <w:r w:rsidRPr="008C259A">
        <w:rPr>
          <w:color w:val="000000"/>
          <w:lang w:val="ru-RU" w:eastAsia="ru-RU"/>
        </w:rPr>
        <w:t>Луристана</w:t>
      </w:r>
      <w:proofErr w:type="spellEnd"/>
      <w:r w:rsidRPr="008C259A">
        <w:rPr>
          <w:color w:val="000000"/>
          <w:lang w:val="ru-RU" w:eastAsia="ru-RU"/>
        </w:rPr>
        <w:t>, Грузии и Курдистана). Вали принадлежал к роду владетелей данного вилайета и пользовался автономией. Вали Грузии получал жалованье из Ирана в форме взимаемых там налогов. Этим подразумевалось, что вали — чиновник Ирана.</w:t>
      </w:r>
      <w:r w:rsidR="00CF4336">
        <w:rPr>
          <w:color w:val="000000"/>
          <w:lang w:val="ru-RU" w:eastAsia="ru-RU"/>
        </w:rPr>
        <w:t xml:space="preserve"> </w:t>
      </w:r>
      <w:r w:rsidR="00CF4336">
        <w:rPr>
          <w:lang w:val="ru-RU"/>
        </w:rPr>
        <w:t xml:space="preserve">В персидских источниках вали Картли именовали </w:t>
      </w:r>
      <w:r w:rsidR="00CF4336" w:rsidRPr="00CF4336">
        <w:rPr>
          <w:lang w:val="ru-RU"/>
        </w:rPr>
        <w:t>«Вали-</w:t>
      </w:r>
      <w:r w:rsidR="00CF4336">
        <w:rPr>
          <w:lang w:val="ru-RU"/>
        </w:rPr>
        <w:t>и</w:t>
      </w:r>
      <w:r w:rsidR="00CF4336" w:rsidRPr="00CF4336">
        <w:rPr>
          <w:lang w:val="ru-RU"/>
        </w:rPr>
        <w:t xml:space="preserve"> </w:t>
      </w:r>
      <w:proofErr w:type="spellStart"/>
      <w:r w:rsidR="00CF4336" w:rsidRPr="00CF4336">
        <w:rPr>
          <w:lang w:val="ru-RU"/>
        </w:rPr>
        <w:t>Гор</w:t>
      </w:r>
      <w:r w:rsidR="00CF4336">
        <w:rPr>
          <w:lang w:val="ru-RU"/>
        </w:rPr>
        <w:t>дж</w:t>
      </w:r>
      <w:r w:rsidR="00CF4336" w:rsidRPr="00CF4336">
        <w:rPr>
          <w:lang w:val="ru-RU"/>
        </w:rPr>
        <w:t>ес</w:t>
      </w:r>
      <w:r w:rsidR="00CF4336">
        <w:rPr>
          <w:lang w:val="ru-RU"/>
        </w:rPr>
        <w:t>тан</w:t>
      </w:r>
      <w:proofErr w:type="spellEnd"/>
      <w:r w:rsidR="00CF4336" w:rsidRPr="00CF4336">
        <w:rPr>
          <w:lang w:val="ru-RU"/>
        </w:rPr>
        <w:t xml:space="preserve"> </w:t>
      </w:r>
      <w:proofErr w:type="spellStart"/>
      <w:r w:rsidR="00CF4336" w:rsidRPr="00CF4336">
        <w:rPr>
          <w:lang w:val="ru-RU"/>
        </w:rPr>
        <w:t>Картил</w:t>
      </w:r>
      <w:proofErr w:type="spellEnd"/>
      <w:r w:rsidR="00CF4336" w:rsidRPr="00CF4336">
        <w:rPr>
          <w:lang w:val="ru-RU"/>
        </w:rPr>
        <w:t xml:space="preserve">», а </w:t>
      </w:r>
      <w:r w:rsidR="00CF4336">
        <w:rPr>
          <w:lang w:val="ru-RU"/>
        </w:rPr>
        <w:t xml:space="preserve">вали </w:t>
      </w:r>
      <w:proofErr w:type="spellStart"/>
      <w:r w:rsidR="00CF4336">
        <w:rPr>
          <w:lang w:val="ru-RU"/>
        </w:rPr>
        <w:t>Кахети</w:t>
      </w:r>
      <w:proofErr w:type="spellEnd"/>
      <w:r w:rsidR="00CF4336">
        <w:rPr>
          <w:lang w:val="ru-RU"/>
        </w:rPr>
        <w:t xml:space="preserve"> </w:t>
      </w:r>
      <w:r w:rsidR="00CF4336" w:rsidRPr="00CF4336">
        <w:rPr>
          <w:lang w:val="ru-RU"/>
        </w:rPr>
        <w:t>«Вали-</w:t>
      </w:r>
      <w:r w:rsidR="00CF4336">
        <w:rPr>
          <w:lang w:val="ru-RU"/>
        </w:rPr>
        <w:t>и</w:t>
      </w:r>
      <w:r w:rsidR="00CF4336" w:rsidRPr="00CF4336">
        <w:rPr>
          <w:lang w:val="ru-RU"/>
        </w:rPr>
        <w:t xml:space="preserve"> </w:t>
      </w:r>
      <w:proofErr w:type="spellStart"/>
      <w:r w:rsidR="00CF4336" w:rsidRPr="00CF4336">
        <w:rPr>
          <w:lang w:val="ru-RU"/>
        </w:rPr>
        <w:t>Г</w:t>
      </w:r>
      <w:r w:rsidR="00CF4336">
        <w:rPr>
          <w:lang w:val="ru-RU"/>
        </w:rPr>
        <w:t>орджестан</w:t>
      </w:r>
      <w:proofErr w:type="spellEnd"/>
      <w:r w:rsidR="00CF4336">
        <w:rPr>
          <w:lang w:val="ru-RU"/>
        </w:rPr>
        <w:t xml:space="preserve"> </w:t>
      </w:r>
      <w:proofErr w:type="spellStart"/>
      <w:r w:rsidR="00CF4336" w:rsidRPr="00CF4336">
        <w:rPr>
          <w:lang w:val="ru-RU"/>
        </w:rPr>
        <w:t>Кахит</w:t>
      </w:r>
      <w:proofErr w:type="spellEnd"/>
      <w:r w:rsidR="00CF4336" w:rsidRPr="00CF4336">
        <w:rPr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0A5" w:rsidRDefault="00CE00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91A"/>
    <w:multiLevelType w:val="hybridMultilevel"/>
    <w:tmpl w:val="E0FA700C"/>
    <w:numStyleLink w:val="a"/>
  </w:abstractNum>
  <w:abstractNum w:abstractNumId="1" w15:restartNumberingAfterBreak="0">
    <w:nsid w:val="29A2703C"/>
    <w:multiLevelType w:val="hybridMultilevel"/>
    <w:tmpl w:val="155E01E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0B9452F"/>
    <w:multiLevelType w:val="hybridMultilevel"/>
    <w:tmpl w:val="E0604BC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6BFF75A8"/>
    <w:multiLevelType w:val="hybridMultilevel"/>
    <w:tmpl w:val="E0FA700C"/>
    <w:styleLink w:val="a"/>
    <w:lvl w:ilvl="0" w:tplc="0270D65A">
      <w:start w:val="1"/>
      <w:numFmt w:val="decimal"/>
      <w:lvlText w:val="%1."/>
      <w:lvlJc w:val="left"/>
      <w:pPr>
        <w:tabs>
          <w:tab w:val="num" w:pos="790"/>
        </w:tabs>
        <w:ind w:left="100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C828F2">
      <w:start w:val="1"/>
      <w:numFmt w:val="decimal"/>
      <w:lvlText w:val="%2."/>
      <w:lvlJc w:val="left"/>
      <w:pPr>
        <w:tabs>
          <w:tab w:val="num" w:pos="1150"/>
        </w:tabs>
        <w:ind w:left="136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6DD78">
      <w:start w:val="1"/>
      <w:numFmt w:val="decimal"/>
      <w:lvlText w:val="%3."/>
      <w:lvlJc w:val="left"/>
      <w:pPr>
        <w:tabs>
          <w:tab w:val="num" w:pos="1510"/>
        </w:tabs>
        <w:ind w:left="172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45106">
      <w:start w:val="1"/>
      <w:numFmt w:val="decimal"/>
      <w:lvlText w:val="%4."/>
      <w:lvlJc w:val="left"/>
      <w:pPr>
        <w:tabs>
          <w:tab w:val="num" w:pos="1870"/>
        </w:tabs>
        <w:ind w:left="208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A69D10">
      <w:start w:val="1"/>
      <w:numFmt w:val="decimal"/>
      <w:lvlText w:val="%5."/>
      <w:lvlJc w:val="left"/>
      <w:pPr>
        <w:tabs>
          <w:tab w:val="num" w:pos="2230"/>
        </w:tabs>
        <w:ind w:left="244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BCCAF4">
      <w:start w:val="1"/>
      <w:numFmt w:val="decimal"/>
      <w:lvlText w:val="%6."/>
      <w:lvlJc w:val="left"/>
      <w:pPr>
        <w:tabs>
          <w:tab w:val="num" w:pos="2590"/>
        </w:tabs>
        <w:ind w:left="280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08AA4">
      <w:start w:val="1"/>
      <w:numFmt w:val="decimal"/>
      <w:lvlText w:val="%7."/>
      <w:lvlJc w:val="left"/>
      <w:pPr>
        <w:tabs>
          <w:tab w:val="num" w:pos="2950"/>
        </w:tabs>
        <w:ind w:left="316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50CC08">
      <w:start w:val="1"/>
      <w:numFmt w:val="decimal"/>
      <w:lvlText w:val="%8."/>
      <w:lvlJc w:val="left"/>
      <w:pPr>
        <w:tabs>
          <w:tab w:val="num" w:pos="3310"/>
        </w:tabs>
        <w:ind w:left="352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BAE336">
      <w:start w:val="1"/>
      <w:numFmt w:val="decimal"/>
      <w:lvlText w:val="%9."/>
      <w:lvlJc w:val="left"/>
      <w:pPr>
        <w:tabs>
          <w:tab w:val="num" w:pos="3670"/>
        </w:tabs>
        <w:ind w:left="3883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19018472">
    <w:abstractNumId w:val="3"/>
  </w:num>
  <w:num w:numId="2" w16cid:durableId="1229850136">
    <w:abstractNumId w:val="0"/>
  </w:num>
  <w:num w:numId="3" w16cid:durableId="1960336628">
    <w:abstractNumId w:val="0"/>
    <w:lvlOverride w:ilvl="0">
      <w:startOverride w:val="1"/>
      <w:lvl w:ilvl="0" w:tplc="820ECFE8">
        <w:start w:val="1"/>
        <w:numFmt w:val="decimal"/>
        <w:lvlText w:val="%1."/>
        <w:lvlJc w:val="left"/>
        <w:pPr>
          <w:tabs>
            <w:tab w:val="num" w:pos="790"/>
          </w:tabs>
          <w:ind w:left="91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425476">
        <w:start w:val="1"/>
        <w:numFmt w:val="decimal"/>
        <w:lvlText w:val="%2."/>
        <w:lvlJc w:val="left"/>
        <w:pPr>
          <w:tabs>
            <w:tab w:val="num" w:pos="1150"/>
          </w:tabs>
          <w:ind w:left="127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BFA30F6">
        <w:start w:val="1"/>
        <w:numFmt w:val="decimal"/>
        <w:lvlText w:val="%3."/>
        <w:lvlJc w:val="left"/>
        <w:pPr>
          <w:tabs>
            <w:tab w:val="num" w:pos="1510"/>
          </w:tabs>
          <w:ind w:left="163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B7411DA">
        <w:start w:val="1"/>
        <w:numFmt w:val="decimal"/>
        <w:lvlText w:val="%4."/>
        <w:lvlJc w:val="left"/>
        <w:pPr>
          <w:tabs>
            <w:tab w:val="num" w:pos="1870"/>
          </w:tabs>
          <w:ind w:left="199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1674B6">
        <w:start w:val="1"/>
        <w:numFmt w:val="decimal"/>
        <w:lvlText w:val="%5."/>
        <w:lvlJc w:val="left"/>
        <w:pPr>
          <w:tabs>
            <w:tab w:val="num" w:pos="2230"/>
          </w:tabs>
          <w:ind w:left="235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B08A936">
        <w:start w:val="1"/>
        <w:numFmt w:val="decimal"/>
        <w:lvlText w:val="%6."/>
        <w:lvlJc w:val="left"/>
        <w:pPr>
          <w:tabs>
            <w:tab w:val="num" w:pos="2590"/>
          </w:tabs>
          <w:ind w:left="271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96A41FA">
        <w:start w:val="1"/>
        <w:numFmt w:val="decimal"/>
        <w:lvlText w:val="%7."/>
        <w:lvlJc w:val="left"/>
        <w:pPr>
          <w:tabs>
            <w:tab w:val="num" w:pos="2950"/>
          </w:tabs>
          <w:ind w:left="307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BC45618">
        <w:start w:val="1"/>
        <w:numFmt w:val="decimal"/>
        <w:lvlText w:val="%8."/>
        <w:lvlJc w:val="left"/>
        <w:pPr>
          <w:tabs>
            <w:tab w:val="num" w:pos="3310"/>
          </w:tabs>
          <w:ind w:left="343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B8F1DC">
        <w:start w:val="1"/>
        <w:numFmt w:val="decimal"/>
        <w:lvlText w:val="%9."/>
        <w:lvlJc w:val="left"/>
        <w:pPr>
          <w:tabs>
            <w:tab w:val="num" w:pos="3670"/>
          </w:tabs>
          <w:ind w:left="3797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60644863">
    <w:abstractNumId w:val="1"/>
  </w:num>
  <w:num w:numId="5" w16cid:durableId="10847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A5"/>
    <w:rsid w:val="00021EFF"/>
    <w:rsid w:val="000B226A"/>
    <w:rsid w:val="000C797E"/>
    <w:rsid w:val="000E0BCD"/>
    <w:rsid w:val="000E2172"/>
    <w:rsid w:val="00171070"/>
    <w:rsid w:val="001B5E2B"/>
    <w:rsid w:val="00241E4A"/>
    <w:rsid w:val="002461E4"/>
    <w:rsid w:val="00251524"/>
    <w:rsid w:val="0026063C"/>
    <w:rsid w:val="002701F9"/>
    <w:rsid w:val="002704E8"/>
    <w:rsid w:val="002962AA"/>
    <w:rsid w:val="002A760F"/>
    <w:rsid w:val="002D70FF"/>
    <w:rsid w:val="00352BD6"/>
    <w:rsid w:val="00374D80"/>
    <w:rsid w:val="003C09B8"/>
    <w:rsid w:val="003D0081"/>
    <w:rsid w:val="00431021"/>
    <w:rsid w:val="00484353"/>
    <w:rsid w:val="004B5799"/>
    <w:rsid w:val="00542F26"/>
    <w:rsid w:val="00555697"/>
    <w:rsid w:val="00560978"/>
    <w:rsid w:val="005A0F0A"/>
    <w:rsid w:val="005D695A"/>
    <w:rsid w:val="00671FF4"/>
    <w:rsid w:val="006C5A3B"/>
    <w:rsid w:val="006E58E1"/>
    <w:rsid w:val="007309D7"/>
    <w:rsid w:val="00752CFE"/>
    <w:rsid w:val="00783215"/>
    <w:rsid w:val="00793076"/>
    <w:rsid w:val="007B4122"/>
    <w:rsid w:val="007B4458"/>
    <w:rsid w:val="0082530D"/>
    <w:rsid w:val="0082717E"/>
    <w:rsid w:val="00874FC2"/>
    <w:rsid w:val="008C259A"/>
    <w:rsid w:val="008C633B"/>
    <w:rsid w:val="008E2204"/>
    <w:rsid w:val="0090149F"/>
    <w:rsid w:val="0091177B"/>
    <w:rsid w:val="00915033"/>
    <w:rsid w:val="009827B4"/>
    <w:rsid w:val="009A6C5A"/>
    <w:rsid w:val="009C07FD"/>
    <w:rsid w:val="009C19BF"/>
    <w:rsid w:val="009F53D7"/>
    <w:rsid w:val="00A120DC"/>
    <w:rsid w:val="00A64D0B"/>
    <w:rsid w:val="00A76176"/>
    <w:rsid w:val="00AA2AEA"/>
    <w:rsid w:val="00AB1EE0"/>
    <w:rsid w:val="00AC1D7B"/>
    <w:rsid w:val="00AF5DAE"/>
    <w:rsid w:val="00B72CF1"/>
    <w:rsid w:val="00B8694D"/>
    <w:rsid w:val="00BB7A9B"/>
    <w:rsid w:val="00BC5E97"/>
    <w:rsid w:val="00BD509B"/>
    <w:rsid w:val="00C20F41"/>
    <w:rsid w:val="00C40D57"/>
    <w:rsid w:val="00C52D99"/>
    <w:rsid w:val="00CB15C2"/>
    <w:rsid w:val="00CE00A5"/>
    <w:rsid w:val="00CE2D18"/>
    <w:rsid w:val="00CF4336"/>
    <w:rsid w:val="00D346AD"/>
    <w:rsid w:val="00D67F6C"/>
    <w:rsid w:val="00D86E0F"/>
    <w:rsid w:val="00DF5795"/>
    <w:rsid w:val="00E00C53"/>
    <w:rsid w:val="00ED5B27"/>
    <w:rsid w:val="00F92FA8"/>
    <w:rsid w:val="00FA31A0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853E"/>
  <w15:docId w15:val="{EBB3518C-0141-DF4C-B1F2-DE606EBE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C52D99"/>
    <w:pPr>
      <w:ind w:firstLine="397"/>
      <w:jc w:val="both"/>
    </w:pPr>
    <w:rPr>
      <w:color w:val="000000" w:themeColor="text1"/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4"/>
    <w:rPr>
      <w:u w:val="single"/>
    </w:rPr>
  </w:style>
  <w:style w:type="paragraph" w:customStyle="1" w:styleId="a7">
    <w:name w:val="Сноска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styleId="a8">
    <w:name w:val="Normal (Web)"/>
    <w:basedOn w:val="a0"/>
    <w:uiPriority w:val="99"/>
    <w:unhideWhenUsed/>
    <w:rsid w:val="00171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9">
    <w:name w:val="Body Text"/>
    <w:link w:val="aa"/>
    <w:rsid w:val="00D86E0F"/>
    <w:pPr>
      <w:spacing w:line="288" w:lineRule="auto"/>
      <w:ind w:firstLine="709"/>
      <w:jc w:val="both"/>
    </w:pPr>
    <w:rPr>
      <w:rFonts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1"/>
    <w:link w:val="a9"/>
    <w:rsid w:val="00D86E0F"/>
    <w:rPr>
      <w:rFonts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footnote text"/>
    <w:basedOn w:val="a0"/>
    <w:link w:val="ac"/>
    <w:uiPriority w:val="99"/>
    <w:semiHidden/>
    <w:unhideWhenUsed/>
    <w:rsid w:val="00793076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93076"/>
    <w:rPr>
      <w:lang w:val="en-US" w:eastAsia="en-US"/>
    </w:rPr>
  </w:style>
  <w:style w:type="character" w:styleId="ad">
    <w:name w:val="footnote reference"/>
    <w:basedOn w:val="a1"/>
    <w:uiPriority w:val="99"/>
    <w:semiHidden/>
    <w:unhideWhenUsed/>
    <w:rsid w:val="00793076"/>
    <w:rPr>
      <w:vertAlign w:val="superscript"/>
    </w:rPr>
  </w:style>
  <w:style w:type="character" w:styleId="ae">
    <w:name w:val="Emphasis"/>
    <w:basedOn w:val="a1"/>
    <w:uiPriority w:val="20"/>
    <w:qFormat/>
    <w:rsid w:val="007B4122"/>
    <w:rPr>
      <w:i/>
      <w:iCs/>
    </w:rPr>
  </w:style>
  <w:style w:type="character" w:customStyle="1" w:styleId="apple-converted-space">
    <w:name w:val="apple-converted-space"/>
    <w:basedOn w:val="a1"/>
    <w:rsid w:val="000C797E"/>
  </w:style>
  <w:style w:type="paragraph" w:styleId="af">
    <w:name w:val="List Paragraph"/>
    <w:basedOn w:val="a0"/>
    <w:uiPriority w:val="34"/>
    <w:qFormat/>
    <w:rsid w:val="00C5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habel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762590-E8B0-C94A-9E01-100AF3CC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Хабелова Мэгги Лериевна</cp:lastModifiedBy>
  <cp:revision>5</cp:revision>
  <dcterms:created xsi:type="dcterms:W3CDTF">2024-01-31T19:25:00Z</dcterms:created>
  <dcterms:modified xsi:type="dcterms:W3CDTF">2024-02-06T16:19:00Z</dcterms:modified>
</cp:coreProperties>
</file>