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5FE2" w14:textId="77777777" w:rsidR="00DF5F1A" w:rsidRPr="00DF5F1A" w:rsidRDefault="00DF5F1A" w:rsidP="00DF5F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F5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Урбанизация Магриба при ‘Аббасидах </w:t>
      </w:r>
    </w:p>
    <w:p w14:paraId="762DFCF7" w14:textId="46120124" w:rsidR="00B62411" w:rsidRDefault="00DF5F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Мирзоев Хасан Азерович</w:t>
      </w:r>
    </w:p>
    <w:p w14:paraId="7968B555" w14:textId="13BB3BB3" w:rsidR="00DF5F1A" w:rsidRDefault="00DF5F1A" w:rsidP="00DF5F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Аспирант, 1 курс</w:t>
      </w:r>
    </w:p>
    <w:p w14:paraId="2656FF37" w14:textId="6C6E4BEA" w:rsidR="00B62411" w:rsidRDefault="00DF5F1A" w:rsidP="00DF5F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Тюменский 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государственный университет имени</w:t>
      </w:r>
    </w:p>
    <w:p w14:paraId="7289B19A" w14:textId="10C7C8A6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Институт </w:t>
      </w:r>
      <w:r w:rsidR="00DF5F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социально-гуманитарных наук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DF5F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Тюмень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Россия</w:t>
      </w:r>
    </w:p>
    <w:p w14:paraId="6A4048A1" w14:textId="4BEEE014" w:rsidR="00B62411" w:rsidRPr="00DF5F1A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F5F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E–mail: </w:t>
      </w:r>
      <w:r w:rsidR="00DF5F1A" w:rsidRPr="00DF5F1A">
        <w:rPr>
          <w:rFonts w:ascii="Times New Roman" w:hAnsi="Times New Roman" w:cs="Times New Roman"/>
          <w:sz w:val="24"/>
          <w:szCs w:val="24"/>
          <w:lang w:val="en-US"/>
        </w:rPr>
        <w:t>g.mirzoev@list.ru</w:t>
      </w:r>
    </w:p>
    <w:p w14:paraId="7BB764BE" w14:textId="4E27799F" w:rsidR="00DF5F1A" w:rsidRPr="00DF5F1A" w:rsidRDefault="00DF5F1A" w:rsidP="00DF5F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Магриб, как обозначалась Северная Африка в Средние века, представлял собой западную часть исламского мира. Начиная с </w:t>
      </w:r>
      <w:r w:rsidRPr="00DF5F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VII</w:t>
      </w:r>
      <w:r w:rsidRPr="00DF5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в., покорив Египет, арабы включили в состав халифата территории современных Ливии, Туниса, Алжира и Марокко [Большаков, 2010,</w:t>
      </w:r>
      <w:r w:rsidR="00FC27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169</w:t>
      </w:r>
      <w:r w:rsidRPr="00DF5F1A">
        <w:rPr>
          <w:rFonts w:ascii="Times New Roman" w:eastAsia="Times New Roman" w:hAnsi="Times New Roman" w:cs="Times New Roman"/>
          <w:color w:val="000000"/>
          <w:sz w:val="24"/>
          <w:szCs w:val="24"/>
        </w:rPr>
        <w:t>]. Неполнота сведений о Магрибе, по сравнению с центральными и восточными провинциями Халифата, встречающихся в письменных источниках, компенсируется новыми археологическими материалами, позволяющими оценить не только трансформацию византийских полисов в медины [</w:t>
      </w:r>
      <w:r w:rsidRPr="00DF5F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Kennedy</w:t>
      </w:r>
      <w:r w:rsidRPr="00DF5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1985, </w:t>
      </w:r>
      <w:r w:rsidRPr="00DF5F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DF5F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F4B82" w:rsidRPr="00AF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</w:t>
      </w:r>
      <w:r w:rsidRPr="00DF5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], но и проследить изменения в городской структуре в правление той или иной династии. Цель данного исследования – отобразить степень влияния ‘Аббасидов на развитие городской среды в рассматриваемом регионе. В качестве основного метода в исследовании используется концепция «инфраструктурного поворота», на основе которого инфраструктура городов рассматривается в качестве сети, пропускающей потоки товаров, идей и людей. </w:t>
      </w:r>
    </w:p>
    <w:p w14:paraId="12FC0BE0" w14:textId="56842E9A" w:rsidR="00B62411" w:rsidRDefault="00C503BE" w:rsidP="00C503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03BE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 опирается на письменные, нумизматические и археологические источники. Под письменными источниками прежде всего понимаются арабские исторические и географические сочинения: ат-Табари, ал-Куфи, Ибн Хордадбиха, ал-Мас’уди. Среди нумизматических источников выделяются монеты, выпущенные в период правления наместников Мухаллабидов и амиров (с 183 г.х.) Аглабидов – наместников Ифрикии [</w:t>
      </w:r>
      <w:r w:rsidRPr="00C503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Heideimann</w:t>
      </w:r>
      <w:r w:rsidRPr="00C503BE">
        <w:rPr>
          <w:rFonts w:ascii="Times New Roman" w:eastAsia="Times New Roman" w:hAnsi="Times New Roman" w:cs="Times New Roman"/>
          <w:color w:val="000000"/>
          <w:sz w:val="24"/>
          <w:szCs w:val="24"/>
        </w:rPr>
        <w:t>, 2011,</w:t>
      </w:r>
      <w:r w:rsidR="00C64C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503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C503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64C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535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458</w:t>
      </w:r>
      <w:r w:rsidRPr="00C503BE">
        <w:rPr>
          <w:rFonts w:ascii="Times New Roman" w:eastAsia="Times New Roman" w:hAnsi="Times New Roman" w:cs="Times New Roman"/>
          <w:color w:val="000000"/>
          <w:sz w:val="24"/>
          <w:szCs w:val="24"/>
        </w:rPr>
        <w:t>]. Их обращение в халифате отразило степень экономического развития городов региона. Из археологических источников исключительно важны опубликованные материалы раскопок Александрии, Фустата, Киренаики, Кайруана, Туниса, которые позволяют реконструировать городские планы и выделить отдельные компоненты городской среды.</w:t>
      </w:r>
    </w:p>
    <w:p w14:paraId="1101296F" w14:textId="0E9B197F" w:rsidR="006A3652" w:rsidRPr="006A3652" w:rsidRDefault="006A3652" w:rsidP="006A36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652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Непосредственные изменения, произошедшие в Магрибе после арабского завоевания, были минимальными в различных отношениях. Масштабы разрушений были незначительными. За исключением столицы Карфагена, которая была взята штурмом и разграблена в 697–698 году и так и не была восстановлена, большинство византийских городов не были разрушены или заброшены сразу после арабских завоеваний [</w:t>
      </w:r>
      <w:r w:rsidRPr="006A36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Bakirtzis</w:t>
      </w:r>
      <w:r w:rsidRPr="006A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2024, </w:t>
      </w:r>
      <w:r w:rsidRPr="006A36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6A3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64C4F" w:rsidRPr="00C64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376</w:t>
      </w:r>
      <w:r w:rsidRPr="006A3652">
        <w:rPr>
          <w:rFonts w:ascii="Times New Roman" w:eastAsia="Times New Roman" w:hAnsi="Times New Roman" w:cs="Times New Roman"/>
          <w:color w:val="000000"/>
          <w:sz w:val="24"/>
          <w:szCs w:val="24"/>
        </w:rPr>
        <w:t>]. Очевидно, что халифат не основывал новых поселений с такой активностью, как на центральных землях халифата. Только два новых города — Кайруан и Тунис — были основаны в правление последних Омейядов (т.е. до 800 года), и в результате городская сеть средневековой Ифрикии продолжала воспроизводить городскую структуру Византийской Африки.</w:t>
      </w:r>
    </w:p>
    <w:p w14:paraId="5E986105" w14:textId="08E08A4D" w:rsidR="005642C8" w:rsidRDefault="005642C8" w:rsidP="006D3432">
      <w:pPr>
        <w:spacing w:after="160"/>
        <w:ind w:firstLine="397"/>
        <w:rPr>
          <w:rFonts w:ascii="Times New Roman" w:hAnsi="Times New Roman" w:cs="Times New Roman"/>
          <w:sz w:val="24"/>
          <w:szCs w:val="24"/>
          <w:lang w:eastAsia="en-US"/>
        </w:rPr>
      </w:pPr>
      <w:r w:rsidRPr="005642C8">
        <w:rPr>
          <w:rFonts w:ascii="Times New Roman" w:hAnsi="Times New Roman" w:cs="Times New Roman"/>
          <w:sz w:val="24"/>
          <w:szCs w:val="24"/>
          <w:lang w:eastAsia="en-US"/>
        </w:rPr>
        <w:t>В то же время новые фундаменты Кайруана (670 г.) и Туниса (около 705 г.), заложенные вблизи старых поселений, включали в себя новые городские элементы, не встречавшиеся прежде в данном регионе. Под ними понимаются новые типы зданий, таких, как мечети, минареты, медресе, и резиденции (дар ал-имара), рибаты, караван-сараи. Крупные, процветающие административные центры Византийской (Ромейской) Африки VI–VII вв. продолжали оставаться важными центрами мусульманской Ифрикии и извлекали выгоду из присутствия солдат, наместников и торговцев.</w:t>
      </w:r>
      <w:r w:rsidR="006D343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42A6B3BD" w14:textId="788834E8" w:rsidR="006D3432" w:rsidRPr="005642C8" w:rsidRDefault="00697FD1" w:rsidP="00697FD1">
      <w:pPr>
        <w:spacing w:after="160"/>
        <w:ind w:firstLine="397"/>
        <w:rPr>
          <w:rFonts w:ascii="Times New Roman" w:hAnsi="Times New Roman" w:cs="Times New Roman"/>
          <w:sz w:val="24"/>
          <w:szCs w:val="24"/>
          <w:lang w:eastAsia="en-US"/>
        </w:rPr>
      </w:pPr>
      <w:r w:rsidRPr="00697FD1">
        <w:rPr>
          <w:rFonts w:ascii="Times New Roman" w:hAnsi="Times New Roman" w:cs="Times New Roman"/>
          <w:sz w:val="24"/>
          <w:szCs w:val="24"/>
          <w:lang w:eastAsia="en-US"/>
        </w:rPr>
        <w:t xml:space="preserve">Проведенное исследование показало, что степень влияния ‘Аббасидов на регион характеризовался развитием существующих городов, переносом существующих центров в новые возведенные города, что по сравнению с правлением предыдущей династией может показаться минимальным. Стоит отметить, что изменения не были связаны с прямым вмешательством халифской власти, их скорость и хронология варьировались в зависимости от отдельных городов. </w:t>
      </w:r>
    </w:p>
    <w:p w14:paraId="61007841" w14:textId="77777777" w:rsidR="00B62411" w:rsidRPr="00C02D7E" w:rsidRDefault="0093713A" w:rsidP="006D34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Источники</w:t>
      </w:r>
      <w:r w:rsidRPr="00C02D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C02D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6A123179" w14:textId="34205579" w:rsidR="0093713A" w:rsidRPr="00C02D7E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02D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1.</w:t>
      </w:r>
      <w:r w:rsidR="00C02D7E" w:rsidRPr="00C02D7E">
        <w:rPr>
          <w:lang w:val="en-US"/>
        </w:rPr>
        <w:t xml:space="preserve"> </w:t>
      </w:r>
      <w:r w:rsidR="00C02D7E" w:rsidRPr="00C02D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History of al-Tabari. Volume XXVII. The `Abbasid Revolution // Translated and Annotated by John Alden Williams. SUNY series in Near Eastern Studies – 220 p.</w:t>
      </w:r>
    </w:p>
    <w:p w14:paraId="5700E352" w14:textId="13230DED" w:rsidR="0093713A" w:rsidRPr="00353B27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66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7C66EB" w:rsidRPr="007C66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Большаков О.Г. История Халифата: в 4 т. Т. </w:t>
      </w:r>
      <w:r w:rsidR="007C66EB" w:rsidRPr="007C66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FC27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7C66EB" w:rsidRPr="007C66EB">
        <w:rPr>
          <w:rFonts w:ascii="Times New Roman" w:eastAsia="Times New Roman" w:hAnsi="Times New Roman" w:cs="Times New Roman"/>
          <w:color w:val="000000"/>
          <w:sz w:val="24"/>
          <w:szCs w:val="24"/>
        </w:rPr>
        <w:t>. // М: Вост.лит., 2010.</w:t>
      </w:r>
      <w:r w:rsidR="00075B41" w:rsidRPr="00075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3B27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075B41" w:rsidRPr="00075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3B27" w:rsidRPr="00353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229 </w:t>
      </w:r>
      <w:r w:rsidR="00353B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="00353B27" w:rsidRPr="00353B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4D5100" w14:textId="6E07F520" w:rsidR="00B01E55" w:rsidRPr="007C66EB" w:rsidRDefault="00B01E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1E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r w:rsidRPr="00D50696">
        <w:rPr>
          <w:rFonts w:ascii="Times New Roman" w:hAnsi="Times New Roman" w:cs="Times New Roman"/>
          <w:sz w:val="24"/>
          <w:szCs w:val="24"/>
          <w:lang w:val="en-US"/>
        </w:rPr>
        <w:t xml:space="preserve">Bakirtzis, N., &amp; Zavagno, L. (Eds.). The Routledge Handbook of the Byzantine City: From Justinian to Mehmet II (ca. 500 - ca.1500) (1st ed.). </w:t>
      </w:r>
      <w:r w:rsidRPr="00CB0759">
        <w:rPr>
          <w:rFonts w:ascii="Times New Roman" w:hAnsi="Times New Roman" w:cs="Times New Roman"/>
          <w:sz w:val="24"/>
          <w:szCs w:val="24"/>
          <w:lang w:val="en-US"/>
        </w:rPr>
        <w:t>Routledge. </w:t>
      </w:r>
      <w:r w:rsidRPr="005C56A9">
        <w:rPr>
          <w:rFonts w:ascii="Times New Roman" w:hAnsi="Times New Roman" w:cs="Times New Roman"/>
          <w:sz w:val="24"/>
          <w:szCs w:val="24"/>
          <w:lang w:val="en-US"/>
        </w:rPr>
        <w:t>2024.</w:t>
      </w:r>
    </w:p>
    <w:p w14:paraId="581D9E00" w14:textId="51230FD8" w:rsidR="00B62411" w:rsidRPr="00625617" w:rsidRDefault="00B01E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3713A" w:rsidRPr="00343C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343C34" w:rsidRPr="00343C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Kennedy, Hugh. “From Polis to Medina: Urban Change in late antique and early Islamic Syria.” Past &amp; Present. 1985.</w:t>
      </w:r>
      <w:r w:rsidR="00075B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pp. 3-27</w:t>
      </w:r>
    </w:p>
    <w:p w14:paraId="1CA95110" w14:textId="4C6F26C6" w:rsidR="00625617" w:rsidRDefault="00B01E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1119E4" w:rsidRPr="006256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625617" w:rsidRPr="006256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Stefan Heidemann. The Circulation of North African Dirhams in Northern Mesopotamia – The Dirham Hoard of Tall al-Bīʿa/al-Raqqa (t.p.q. 186/802) // Revue Numismatique, 2011. pp. 451-470. </w:t>
      </w:r>
    </w:p>
    <w:p w14:paraId="45BB6F5D" w14:textId="0C862E15" w:rsidR="00B62411" w:rsidRPr="00DF5F1A" w:rsidRDefault="00B62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9C45BF" w14:textId="77777777" w:rsidR="00B62411" w:rsidRDefault="00B62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62C9324" w14:textId="77777777" w:rsidR="0093713A" w:rsidRPr="0093713A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93713A" w:rsidRPr="0093713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E40"/>
    <w:multiLevelType w:val="hybridMultilevel"/>
    <w:tmpl w:val="A12A4E14"/>
    <w:lvl w:ilvl="0" w:tplc="AAB697B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1A"/>
    <w:rsid w:val="000007D1"/>
    <w:rsid w:val="000535E9"/>
    <w:rsid w:val="00075B41"/>
    <w:rsid w:val="000967D7"/>
    <w:rsid w:val="001119E4"/>
    <w:rsid w:val="00275BB0"/>
    <w:rsid w:val="002A6A2D"/>
    <w:rsid w:val="002C13F5"/>
    <w:rsid w:val="00343C34"/>
    <w:rsid w:val="00353B27"/>
    <w:rsid w:val="003567BA"/>
    <w:rsid w:val="004F14BC"/>
    <w:rsid w:val="005642C8"/>
    <w:rsid w:val="005E386D"/>
    <w:rsid w:val="00625617"/>
    <w:rsid w:val="00697FD1"/>
    <w:rsid w:val="006A3652"/>
    <w:rsid w:val="006B339E"/>
    <w:rsid w:val="006D3432"/>
    <w:rsid w:val="007B4530"/>
    <w:rsid w:val="007C66EB"/>
    <w:rsid w:val="00884E49"/>
    <w:rsid w:val="0093713A"/>
    <w:rsid w:val="00AF4B82"/>
    <w:rsid w:val="00B01E55"/>
    <w:rsid w:val="00B62411"/>
    <w:rsid w:val="00C02D7E"/>
    <w:rsid w:val="00C503BE"/>
    <w:rsid w:val="00C64C4F"/>
    <w:rsid w:val="00CA0150"/>
    <w:rsid w:val="00D71B1E"/>
    <w:rsid w:val="00DB4176"/>
    <w:rsid w:val="00DE6E76"/>
    <w:rsid w:val="00DF5F1A"/>
    <w:rsid w:val="00E47437"/>
    <w:rsid w:val="00FC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1F66"/>
  <w15:docId w15:val="{C4377F44-0268-4A30-BEED-8E533EE6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1;&#1072;&#1089;&#1072;&#1085;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20</TotalTime>
  <Pages>2</Pages>
  <Words>556</Words>
  <Characters>3805</Characters>
  <Application>Microsoft Office Word</Application>
  <DocSecurity>0</DocSecurity>
  <Lines>64</Lines>
  <Paragraphs>19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</dc:creator>
  <cp:lastModifiedBy>Хасан Мирзоев</cp:lastModifiedBy>
  <cp:revision>18</cp:revision>
  <dcterms:created xsi:type="dcterms:W3CDTF">2024-03-22T10:17:00Z</dcterms:created>
  <dcterms:modified xsi:type="dcterms:W3CDTF">2024-03-22T10:45:00Z</dcterms:modified>
</cp:coreProperties>
</file>