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LineNumbers w:val="0"/>
        <w:bidi w:val="0"/>
        <w:spacing w:before="0" w:after="0" w:line="240" w:lineRule="auto"/>
        <w:ind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Ван Мэнчжу</w:t>
      </w:r>
    </w:p>
    <w:p>
      <w:pPr>
        <w:keepNext w:val="0"/>
        <w:keepLines w:val="0"/>
        <w:widowControl/>
        <w:suppressLineNumbers w:val="0"/>
        <w:bidi w:val="0"/>
        <w:spacing w:before="0" w:after="0" w:line="240" w:lineRule="auto"/>
        <w:ind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Московский государственный университет имени М. В. Ломоносова</w:t>
      </w:r>
    </w:p>
    <w:p>
      <w:pPr>
        <w:keepNext w:val="0"/>
        <w:keepLines w:val="0"/>
        <w:widowControl/>
        <w:suppressLineNumbers w:val="0"/>
        <w:bidi w:val="0"/>
        <w:spacing w:before="0" w:after="0" w:line="240" w:lineRule="auto"/>
        <w:ind w:right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/>
        </w:rPr>
        <w:fldChar w:fldCharType="begin"/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/>
        </w:rPr>
        <w:instrText xml:space="preserve"> HYPERLINK "mailto:wangmengzhukarida@mail.ru" </w:instrTex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kern w:val="0"/>
          <w:sz w:val="28"/>
          <w:szCs w:val="28"/>
          <w:lang w:val="ru-RU" w:eastAsia="zh-CN"/>
        </w:rPr>
        <w:t>wangmengzhukarida@mail.ru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/>
        </w:rPr>
        <w:fldChar w:fldCharType="end"/>
      </w:r>
    </w:p>
    <w:p>
      <w:pPr>
        <w:keepNext w:val="0"/>
        <w:keepLines w:val="0"/>
        <w:widowControl/>
        <w:suppressLineNumbers w:val="0"/>
        <w:bidi w:val="0"/>
        <w:spacing w:before="0" w:after="0" w:line="240" w:lineRule="auto"/>
        <w:ind w:right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TimesNewRomanPS-BoldItalicMT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>Аннотация：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 </w:t>
      </w:r>
    </w:p>
    <w:p>
      <w:pPr>
        <w:spacing w:line="240" w:lineRule="auto"/>
        <w:ind w:firstLine="560" w:firstLineChars="200"/>
        <w:jc w:val="both"/>
        <w:rPr>
          <w:rFonts w:hint="eastAsia" w:ascii="Times New Roman"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8"/>
          <w:szCs w:val="28"/>
          <w:lang w:val="ru-RU" w:eastAsia="zh-CN"/>
        </w:rPr>
        <w:t>В этой статье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579D1C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8"/>
          <w:szCs w:val="28"/>
          <w:lang w:val="ru-RU" w:eastAsia="zh-CN"/>
        </w:rPr>
        <w:t xml:space="preserve">внимание сосредоточено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8"/>
          <w:szCs w:val="28"/>
          <w:lang w:val="ru-RU" w:eastAsia="zh-CN"/>
        </w:rPr>
        <w:t>на к</w:t>
      </w:r>
      <w:r>
        <w:rPr>
          <w:rFonts w:hint="default" w:ascii="Times New Roman" w:hAnsi="Times New Roman" w:cs="Times New Roman"/>
          <w:sz w:val="28"/>
          <w:szCs w:val="28"/>
        </w:rPr>
        <w:t>ритерии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познавательной самостоятельности студентов в процессе обучения. В статье н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а основе четкого определения и сущности через четыре аспекта и представления определяются три уровня познавательной самостоятельности студентов. </w:t>
      </w:r>
    </w:p>
    <w:p>
      <w:pPr>
        <w:spacing w:line="24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</w:p>
    <w:p>
      <w:pPr>
        <w:spacing w:line="240" w:lineRule="auto"/>
        <w:ind w:firstLine="560" w:firstLineChars="200"/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Критерии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познавательной самостоятельности студентов в процессе обучения</w:t>
      </w:r>
    </w:p>
    <w:p>
      <w:pPr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Вопросы развития познавательной самостоятельности достаточно давно освещаются в различных областях гуманитарных знаний. Почти в каждой теории или концепции, которая затрагивает человеческое существование, можно найти данную категорию.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ru-RU" w:eastAsia="zh-CN"/>
        </w:rPr>
        <w:t xml:space="preserve">В работе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en-US" w:eastAsia="zh-CN" w:bidi="ar"/>
        </w:rPr>
        <w:t>А.В. Ивано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ru-RU" w:eastAsia="zh-CN" w:bidi="ar"/>
        </w:rPr>
        <w:t xml:space="preserve">вы,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en-US" w:eastAsia="zh-CN" w:bidi="ar"/>
        </w:rPr>
        <w:t>Л.А. Дарбасов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ru-RU" w:eastAsia="zh-CN" w:bidi="ar"/>
        </w:rPr>
        <w:t xml:space="preserve">ы и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en-US" w:eastAsia="zh-CN" w:bidi="ar"/>
        </w:rPr>
        <w:t>А.Г. Скрябин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ru-RU" w:eastAsia="zh-CN" w:bidi="ar"/>
        </w:rPr>
        <w:t xml:space="preserve">ы написано что они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en-US" w:eastAsia="zh-CN"/>
        </w:rPr>
        <w:t>приве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ru-RU" w:eastAsia="zh-CN"/>
        </w:rPr>
        <w:t xml:space="preserve">ли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en-US" w:eastAsia="zh-CN"/>
        </w:rPr>
        <w:t>уточненное понятие «познавательная самостоятельность», рассматриваемое как интегративное качество личности, проявляющееся в готовности осуществить активную, осознанную и инициативную деятельность в познании,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en-US" w:eastAsia="zh-CN"/>
        </w:rPr>
        <w:t>заключающееся в способности к самостоятельной её организации посредством умений ставить познавательные задачи, находить рациональные способы их решения, проявляя волевые качества в достижении целей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/>
        </w:rPr>
        <w:t>[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/>
        </w:rPr>
        <w:t>]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ru-RU" w:eastAsia="zh-CN"/>
        </w:rPr>
        <w:t>.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ru-RU" w:eastAsia="zh-CN"/>
        </w:rPr>
        <w:t>Я. Н. Носикова отметила то, что современная трактовка понятия «познавательная самостоятельность» рассматривается как качество личности, выражающееся в проявлении инициативности, потребности осуществления нового действия с целью получения нового знания через познавательную деятельность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/>
        </w:rPr>
        <w:t>[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/>
        </w:rPr>
        <w:t>]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ru-RU" w:eastAsia="zh-CN"/>
        </w:rPr>
        <w:t>.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ru-RU" w:eastAsia="zh-CN"/>
        </w:rPr>
        <w:t>Конечно, проблема познавательной самостоятельности касается не только самих студентов, но и тесно связана с преподавателем.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31F2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При этом обязанность преподавателя – не «давать рыбу» (давать готовые знания), а «учить людей ловить рыбу» (обучать способам приобретения знаний). Китайский педагог Е.Шэнтао отм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ечает: «Учитель обязан не учить, а учить учеников учиться»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/>
        </w:rPr>
        <w:t>[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/>
        </w:rPr>
        <w:t>]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.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 w:eastAsia="zh-CN"/>
        </w:rPr>
        <w:t>Особо следует подчеркнуть тот факт, что с развитием и популяризацией современных информационных технологий они предоставляют студентам более разнообразные учебные материалы и создают больше возможностей для самостоятельного обучения, что способствует повышению познавательной самостоятельности студентов.</w:t>
      </w:r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 New Roman"/>
          <w:b w:val="0"/>
          <w:bCs w:val="0"/>
          <w:i w:val="0"/>
          <w:iCs w:val="0"/>
          <w:sz w:val="28"/>
          <w:szCs w:val="28"/>
          <w:lang w:val="en-US" w:eastAsia="zh-CN"/>
        </w:rPr>
        <w:t>Поэтому развитие информационного общества несет в себе и возможности, и трудности для образования.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 w:eastAsia="zh-CN"/>
        </w:rPr>
        <w:t xml:space="preserve">Н. К. Крупская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 w:eastAsia="zh-CN"/>
        </w:rPr>
        <w:t xml:space="preserve">подчеркивала важность педагогического планирования, в котором есть достаточное место для самостоятельной работы.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 w:eastAsia="zh-CN"/>
        </w:rPr>
        <w:t xml:space="preserve">С. Т. Шацкий призывал к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 w:eastAsia="zh-CN"/>
        </w:rPr>
        <w:t>нов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 w:eastAsia="zh-CN"/>
        </w:rPr>
        <w:t>ому отбору дидактического материала, который стимулирует самостоятельные знания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/>
        </w:rPr>
        <w:t>[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en-US"/>
        </w:rPr>
        <w:t>]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lang w:val="ru-RU" w:eastAsia="zh-CN"/>
        </w:rPr>
        <w:t>.</w:t>
      </w:r>
    </w:p>
    <w:p>
      <w:pPr>
        <w:spacing w:line="360" w:lineRule="auto"/>
        <w:ind w:firstLine="560" w:firstLineChars="200"/>
        <w:contextualSpacing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 словам профессора Хуан Фуцюаня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метод обучения от конкретного к абстрактному состоит из двух уровней.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Первый уровень включает в себя основные методы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использу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емые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для передачи знаний самым прямым способом.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Второй уровень педагогики в теории профессора Хуана - это педагогическая техника, которую мы должны продолжать исследовать в нынешней образовательной среде и условиях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[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  <w:t>]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>
      <w:pPr>
        <w:spacing w:line="360" w:lineRule="auto"/>
        <w:ind w:firstLine="560" w:firstLineChars="200"/>
        <w:contextualSpacing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zh-CN"/>
        </w:rPr>
        <w:t>Информационное общество требует от будущего специалиста умения самостоятельно включать в систему своей деятельности возрастающий поток профессионально значимой информации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[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zh-CN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]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zh-CN"/>
        </w:rPr>
        <w:t>. Поэтому в активной профессиональной деятельности возникают потребности в непрерывном саморазвитии и самопознании окружающего мира, образов и идей, что и определяет новое качество образования.</w:t>
      </w:r>
    </w:p>
    <w:p>
      <w:pPr>
        <w:widowControl/>
        <w:shd w:val="clear" w:color="auto" w:fill="FFFFFF"/>
        <w:spacing w:line="240" w:lineRule="auto"/>
        <w:ind w:firstLine="560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По итогам проанализированных работ можно сделать вывод, что познавательная самостоятельность студентов – это процесс сознательного приобретения знаний, умений, навыков и ценностных ориентаций, связанный с созданием условий для формирования у них устойчивых познавательных и профессиональных мотивов, развития воли; обеспечивается рефлексивным самоуправлением и характеризуется устойчивой направленностью к организации самообучения.</w:t>
      </w:r>
    </w:p>
    <w:p>
      <w:pPr>
        <w:spacing w:line="24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основе анализа определения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</w:rPr>
        <w:t>сущности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познавательной самостоятельности у студентов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выделено</w:t>
      </w:r>
      <w:r>
        <w:rPr>
          <w:rFonts w:hint="default" w:ascii="Times New Roman" w:hAnsi="Times New Roman" w:cs="Times New Roman"/>
          <w:sz w:val="28"/>
          <w:szCs w:val="28"/>
        </w:rPr>
        <w:t xml:space="preserve"> критерии и показатели, содержащие информацию о характере познавательной самостоятельности, как мотивации и отношении к ее реализации, приобретение знаний, самоконтроль и самооценка, а также характеристики личностного свойства.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редложенные критерии и показатели дают наиболее точное описание содержания и деталей познавательной самостоятельности. Это помогает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преподавателям</w:t>
      </w:r>
      <w:r>
        <w:rPr>
          <w:rFonts w:hint="default" w:ascii="Times New Roman" w:hAnsi="Times New Roman" w:cs="Times New Roman"/>
          <w:sz w:val="28"/>
          <w:szCs w:val="28"/>
        </w:rPr>
        <w:t xml:space="preserve"> более точно оценивать способности учащихся к самостоятельному обучению, анализировать и наблюдать изменения в познавательной самостоятельности учащихся со всех сторон, что способствует более эффективному преподаванию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 уроке</w:t>
      </w:r>
      <w:r>
        <w:rPr>
          <w:rFonts w:hint="default" w:ascii="Times New Roman" w:hAnsi="Times New Roman" w:cs="Times New Roman"/>
          <w:sz w:val="28"/>
          <w:szCs w:val="28"/>
        </w:rPr>
        <w:t xml:space="preserve">. Разработанные критерии и показатели, описывающие проявление познавательной самостоятельности, приводятся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следующей</w:t>
      </w:r>
      <w:r>
        <w:rPr>
          <w:rFonts w:hint="default" w:ascii="Times New Roman" w:hAnsi="Times New Roman" w:cs="Times New Roman"/>
          <w:sz w:val="28"/>
          <w:szCs w:val="28"/>
        </w:rPr>
        <w:t xml:space="preserve"> таблице. </w:t>
      </w:r>
    </w:p>
    <w:p>
      <w:pPr>
        <w:spacing w:before="210" w:line="240" w:lineRule="auto"/>
        <w:ind w:firstLine="737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Критерии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и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показатели познавательной самостоятельности обучающихся</w:t>
      </w:r>
    </w:p>
    <w:tbl>
      <w:tblPr>
        <w:tblStyle w:val="6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8"/>
        <w:gridCol w:w="5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548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5209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3548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Мотивационый критерий</w:t>
            </w:r>
          </w:p>
        </w:tc>
        <w:tc>
          <w:tcPr>
            <w:tcW w:w="5209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4"/>
                <w:szCs w:val="24"/>
              </w:rPr>
              <w:t>1.про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явление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познавательного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интереса и стремление к изучению иностранного языка；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2.сформулирование учебных цели и планы, соответствующие собственным возможностям после глубокого анализа учебных задач;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3.готовность столкнуться с трудностями в процессе обучения;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4.присутствие положительных или отрицательных эмоций.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548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наниевый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209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1.подходящий метод обучения в соответствии со своими собственными привычками и стилем обучения;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2.полнота знаний и владение знаниями (включая аудирование, говорение, чтение и письмо);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3.способность получать информацию и расширять каналы учебных ресурсов;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4.способность анализировать и обрабатывать учебную информацию и ресурсы;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5.навыки общения и умение обращаться за помощью;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6.творческое применение знаний.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7.Использование современных технологий для расширения знаний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3548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Критерий самоконтроли</w:t>
            </w:r>
          </w:p>
        </w:tc>
        <w:tc>
          <w:tcPr>
            <w:tcW w:w="5209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проективная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 корректировка плана обучения;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2.самопроверка по собственной инициативе;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3.саморегуляция состояния обучения;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4.yкрепление собственных способностей после подведения итогов.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3548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Критерий самооценки</w:t>
            </w:r>
          </w:p>
        </w:tc>
        <w:tc>
          <w:tcPr>
            <w:tcW w:w="5209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1.обобщение и оценка результатов самостоятельной учебной работы и результатов обучения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2.рефлексия по поводу поведении и результатов обучения</w:t>
            </w:r>
          </w:p>
        </w:tc>
      </w:tr>
    </w:tbl>
    <w:p>
      <w:pPr>
        <w:spacing w:line="240" w:lineRule="auto"/>
        <w:ind w:firstLine="564" w:firstLineChars="20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Исходя из сочетаний различных ступене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й познавательной самостоятельности </w:t>
      </w:r>
      <w:r>
        <w:rPr>
          <w:rFonts w:hint="default" w:ascii="Times New Roman" w:hAnsi="Times New Roman" w:eastAsia="Times New Roman" w:cs="Times New Roman"/>
          <w:spacing w:val="3"/>
          <w:sz w:val="28"/>
          <w:szCs w:val="28"/>
        </w:rPr>
        <w:t>студентов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,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с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о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ст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о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я</w:t>
      </w:r>
      <w:r>
        <w:rPr>
          <w:rFonts w:hint="default" w:ascii="Times New Roman" w:hAnsi="Times New Roman" w:eastAsia="Times New Roman" w:cs="Times New Roman"/>
          <w:spacing w:val="3"/>
          <w:sz w:val="28"/>
          <w:szCs w:val="28"/>
        </w:rPr>
        <w:t>щ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е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й и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з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 xml:space="preserve"> мо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т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ва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ционно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г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о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,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знаниевого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7"/>
          <w:sz w:val="28"/>
          <w:szCs w:val="28"/>
        </w:rPr>
        <w:t>ко</w:t>
      </w:r>
      <w:r>
        <w:rPr>
          <w:rFonts w:hint="default" w:ascii="Times New Roman" w:hAnsi="Times New Roman" w:eastAsia="Times New Roman" w:cs="Times New Roman"/>
          <w:spacing w:val="9"/>
          <w:sz w:val="28"/>
          <w:szCs w:val="28"/>
        </w:rPr>
        <w:t>м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>п</w:t>
      </w:r>
      <w:r>
        <w:rPr>
          <w:rFonts w:hint="default" w:ascii="Times New Roman" w:hAnsi="Times New Roman" w:eastAsia="Times New Roman" w:cs="Times New Roman"/>
          <w:spacing w:val="7"/>
          <w:sz w:val="28"/>
          <w:szCs w:val="28"/>
        </w:rPr>
        <w:t>о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>н</w:t>
      </w:r>
      <w:r>
        <w:rPr>
          <w:rFonts w:hint="default" w:ascii="Times New Roman" w:hAnsi="Times New Roman" w:eastAsia="Times New Roman" w:cs="Times New Roman"/>
          <w:spacing w:val="6"/>
          <w:sz w:val="28"/>
          <w:szCs w:val="28"/>
        </w:rPr>
        <w:t>е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>н</w:t>
      </w:r>
      <w:r>
        <w:rPr>
          <w:rFonts w:hint="default" w:ascii="Times New Roman" w:hAnsi="Times New Roman" w:eastAsia="Times New Roman" w:cs="Times New Roman"/>
          <w:spacing w:val="6"/>
          <w:sz w:val="28"/>
          <w:szCs w:val="28"/>
        </w:rPr>
        <w:t>т</w:t>
      </w:r>
      <w:r>
        <w:rPr>
          <w:rFonts w:hint="default" w:ascii="Times New Roman" w:hAnsi="Times New Roman" w:eastAsia="Times New Roman" w:cs="Times New Roman"/>
          <w:spacing w:val="7"/>
          <w:sz w:val="28"/>
          <w:szCs w:val="28"/>
        </w:rPr>
        <w:t>ов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,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hint="default" w:ascii="Times New Roman" w:hAnsi="Times New Roman" w:eastAsia="Times New Roman" w:cs="Times New Roman"/>
          <w:spacing w:val="7"/>
          <w:sz w:val="28"/>
          <w:szCs w:val="28"/>
        </w:rPr>
        <w:t>ко</w:t>
      </w:r>
      <w:r>
        <w:rPr>
          <w:rFonts w:hint="default" w:ascii="Times New Roman" w:hAnsi="Times New Roman" w:eastAsia="Times New Roman" w:cs="Times New Roman"/>
          <w:spacing w:val="9"/>
          <w:sz w:val="28"/>
          <w:szCs w:val="28"/>
        </w:rPr>
        <w:t>м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>п</w:t>
      </w:r>
      <w:r>
        <w:rPr>
          <w:rFonts w:hint="default" w:ascii="Times New Roman" w:hAnsi="Times New Roman" w:eastAsia="Times New Roman" w:cs="Times New Roman"/>
          <w:spacing w:val="7"/>
          <w:sz w:val="28"/>
          <w:szCs w:val="28"/>
        </w:rPr>
        <w:t>о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>н</w:t>
      </w:r>
      <w:r>
        <w:rPr>
          <w:rFonts w:hint="default" w:ascii="Times New Roman" w:hAnsi="Times New Roman" w:eastAsia="Times New Roman" w:cs="Times New Roman"/>
          <w:spacing w:val="6"/>
          <w:sz w:val="28"/>
          <w:szCs w:val="28"/>
        </w:rPr>
        <w:t>е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>н</w:t>
      </w:r>
      <w:r>
        <w:rPr>
          <w:rFonts w:hint="default" w:ascii="Times New Roman" w:hAnsi="Times New Roman" w:eastAsia="Times New Roman" w:cs="Times New Roman"/>
          <w:spacing w:val="6"/>
          <w:sz w:val="28"/>
          <w:szCs w:val="28"/>
        </w:rPr>
        <w:t xml:space="preserve">ты 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самоконтроли и самооценки</w:t>
      </w:r>
      <w:r>
        <w:rPr>
          <w:rFonts w:hint="default" w:ascii="Times New Roman" w:hAnsi="Times New Roman" w:eastAsia="Times New Roman" w:cs="Times New Roman"/>
          <w:spacing w:val="4"/>
          <w:sz w:val="28"/>
          <w:szCs w:val="28"/>
        </w:rPr>
        <w:t xml:space="preserve">, 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>системно</w:t>
      </w:r>
      <w:r>
        <w:rPr>
          <w:rFonts w:hint="default" w:ascii="Times New Roman" w:hAnsi="Times New Roman" w:eastAsia="Times New Roman" w:cs="Times New Roman"/>
          <w:spacing w:val="7"/>
          <w:sz w:val="28"/>
          <w:szCs w:val="28"/>
        </w:rPr>
        <w:t xml:space="preserve"> в</w:t>
      </w:r>
      <w:r>
        <w:rPr>
          <w:rFonts w:hint="default" w:ascii="Times New Roman" w:hAnsi="Times New Roman" w:eastAsia="Times New Roman" w:cs="Times New Roman"/>
          <w:spacing w:val="9"/>
          <w:sz w:val="28"/>
          <w:szCs w:val="28"/>
        </w:rPr>
        <w:t>ы</w:t>
      </w:r>
      <w:r>
        <w:rPr>
          <w:rFonts w:hint="default" w:ascii="Times New Roman" w:hAnsi="Times New Roman" w:eastAsia="Times New Roman" w:cs="Times New Roman"/>
          <w:spacing w:val="7"/>
          <w:sz w:val="28"/>
          <w:szCs w:val="28"/>
        </w:rPr>
        <w:t>д</w:t>
      </w:r>
      <w:r>
        <w:rPr>
          <w:rFonts w:hint="default" w:ascii="Times New Roman" w:hAnsi="Times New Roman" w:eastAsia="Times New Roman" w:cs="Times New Roman"/>
          <w:spacing w:val="6"/>
          <w:sz w:val="28"/>
          <w:szCs w:val="28"/>
        </w:rPr>
        <w:t>е</w:t>
      </w:r>
      <w:r>
        <w:rPr>
          <w:rFonts w:hint="default" w:ascii="Times New Roman" w:hAnsi="Times New Roman" w:eastAsia="Times New Roman" w:cs="Times New Roman"/>
          <w:spacing w:val="7"/>
          <w:sz w:val="28"/>
          <w:szCs w:val="28"/>
        </w:rPr>
        <w:t>л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>и</w:t>
      </w:r>
      <w:r>
        <w:rPr>
          <w:rFonts w:hint="default" w:ascii="Times New Roman" w:hAnsi="Times New Roman" w:eastAsia="Times New Roman" w:cs="Times New Roman"/>
          <w:spacing w:val="6"/>
          <w:sz w:val="28"/>
          <w:szCs w:val="28"/>
        </w:rPr>
        <w:t>т</w:t>
      </w:r>
      <w:r>
        <w:rPr>
          <w:rFonts w:hint="default" w:ascii="Times New Roman" w:hAnsi="Times New Roman" w:eastAsia="Times New Roman" w:cs="Times New Roman"/>
          <w:spacing w:val="7"/>
          <w:sz w:val="28"/>
          <w:szCs w:val="28"/>
        </w:rPr>
        <w:t xml:space="preserve">ь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её на три уровня: высокий, средний и низкий. Мы считаем, что распределение трех уровней отображает логику процесса формирования познавательной самостоятельности в учебном процессе, понимаемой как способность и подготовленность к эффективной деятельности: мотирование - узнавание - воспроизведение - практическая деятельность. </w:t>
      </w:r>
    </w:p>
    <w:p>
      <w:pPr>
        <w:spacing w:line="240" w:lineRule="auto"/>
        <w:ind w:firstLine="560" w:firstLineChars="20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Низкий уровнь 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формир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ования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познавательной самостоятельности проявляется в отсутствии систематического понимания и усвоения знаний, а также в отсутствии желания учиться. Ученики не проявляют явного интереса к учебе и не стремятся к собственному развитию. Им не хватает активной реакции на учителя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на уроке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Хотя они могут выполнять соответствующие учебные задания под руководством учителя, это делается механически, без самопонимания и воспроизведения знаний, такой процесс обучения является пассивным. </w:t>
      </w:r>
    </w:p>
    <w:p>
      <w:pPr>
        <w:spacing w:line="240" w:lineRule="auto"/>
        <w:ind w:firstLine="560" w:firstLineChars="20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Средний уровень познавательной самостоятельности в основном характеризуется неполнотой знаний в производстве и ограниченностью применения знаний на практике. Ученики имеют несомненный интерес к обучению, но для активного развития их познавательной самостоятельности необходима стимуляция внешними условиями и участие учителя, а ее развитие достигается только под воздействием педагогических средств. Учащиеся могут преобразовывать свои знания в соответствии с различными практическими требованиями и приобретать средства для применения этих знаний в изменяющихся ситуациях. Этот уровень несколько условен, определяется внешней средой и некоторыми благоприятными условиями, и большую роль в этом процессе играет участие учителя.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line="24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Высокий уровень познавательной самостоятельности выражается главным образом в полноте и целостности понимания знаний. Учащиеся имеют систематическое представление о знаниях, могут творчески применять их на практике, обобщают и осмысливают полученные результаты, чтобы облегчить приобретение новых знаний. Для учащихся с высоким уровнем познавательной самостоятельности процесс обучения является активным и инициативным, это процесс саморазвития и самосовершенствования. Они проявляют сильный интерес к знаниям, планируют свое обучение в соответствии с своими обстоятельствами, ставят цели и двигаются к ним. В процессе обучения они выбирают подходящие и приемлемые для них методы обучения, тщательно и самостоятельно разбираются в полученной информации, контролируют и оценивают себя в течение всего процесса. Весь процесс обучения является активным, творческим и интересным. В их поведении ярко выражена инициатива в учебно-познавательной деятельности. Учитель является скорее проводником в этом процессе, чем руководителем. Для таких студентов </w:t>
      </w:r>
      <w:r>
        <w:rPr>
          <w:rFonts w:hint="default" w:ascii="Times New Roman" w:hAnsi="Times New Roman" w:cs="Times New Roman"/>
          <w:sz w:val="28"/>
          <w:szCs w:val="28"/>
        </w:rPr>
        <w:t xml:space="preserve">им интересно учиться, и они хотят знать как можно больше. Трудности, возникающие при изучении, делают его для них ещё более увлекательным. Если что-то не получается в процессе изучения, они всегда стараются разобраться и дойти до сути. Их интересы и увлечения в свободное время направлены на совершенствование знаний и умений и т.д.. </w:t>
      </w:r>
    </w:p>
    <w:p>
      <w:pPr>
        <w:spacing w:line="240" w:lineRule="auto"/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Важно отметить, что чем выше уровень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познавательной самостоятельности студентов</w:t>
      </w:r>
      <w:r>
        <w:rPr>
          <w:rFonts w:hint="default" w:ascii="Times New Roman" w:hAnsi="Times New Roman" w:cs="Times New Roman"/>
          <w:sz w:val="28"/>
          <w:szCs w:val="28"/>
        </w:rPr>
        <w:t>, тем больше вероятность того, что он достигнет самообразования, самореализации и самосовершенствования. П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ознавательная самостоятельность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необходима не только в процессе обучения, она влияет на всю дальнейшую жизнь и профессиональную деятельность людей.</w:t>
      </w:r>
      <w:r>
        <w:rPr>
          <w:rFonts w:hint="default" w:ascii="Times New Roman" w:hAnsi="Times New Roman" w:cs="Times New Roman"/>
          <w:sz w:val="28"/>
          <w:szCs w:val="28"/>
        </w:rPr>
        <w:t xml:space="preserve"> Однако необходимо подчеркнуть, что сама система уровней формирования познавательной самостоятельности является по сути своей развивающей и открытой: в любое время и в любой ситуации у каждого есть возможность для дальнейшего самосовершенствования. Социально-экономическое и технологическое развитие, а также обогащение опыта человека — все это оказывает влияние на уровень познавательной самостоятельности, которое постепенно развивается к высокому и стабильному уровню, пока он движется вперед. </w:t>
      </w:r>
    </w:p>
    <w:p>
      <w:pPr>
        <w:shd w:val="clear" w:color="auto" w:fill="FFFFFF"/>
        <w:spacing w:after="0"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Проблема формирования познавательной самостоятельности студента глубокая и многоаспектная и не исчерпывается проведенным исследованием. </w:t>
      </w:r>
    </w:p>
    <w:p>
      <w:pPr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</w:rPr>
        <w:t xml:space="preserve">Дальнейшее ее исследование может осуществляться в направлениях углубленного изучения теоретико-методологических основ формирования познавательной самостоятельности в условиях информационно-учебной среды и исследования преемственности в формировании познавательной самостоятельности между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общеобразовательной и высшей школами. </w:t>
      </w:r>
    </w:p>
    <w:p>
      <w:pPr>
        <w:spacing w:line="240" w:lineRule="auto"/>
        <w:ind w:firstLine="560" w:firstLineChars="200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white"/>
        </w:rPr>
      </w:pPr>
    </w:p>
    <w:p>
      <w:pPr>
        <w:spacing w:line="240" w:lineRule="auto"/>
        <w:ind w:firstLine="560" w:firstLineChars="200"/>
        <w:jc w:val="center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>Список литературы</w:t>
      </w:r>
    </w:p>
    <w:p>
      <w:pPr>
        <w:numPr>
          <w:ilvl w:val="0"/>
          <w:numId w:val="1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А.В. Иванова, Л.А. Дарбасова, А.Г. Скрябина Познавательная самостоятельность как психолого-педагогическая проблема в современном образовании.Мир науки, культуры, образования. 2019; № 5 (78) 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Гурина, И. А. Исторический опыт развития познавательной самостоятельности в советской дидактике в 20–30-е гг. XX в./ И. А. Гурина // Изв. высш. учеб. заведений. Северо-Кавказский регион. Сер. Обществ. науки. – 2007. – № 5. – С. 145.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Е Шэнтао. Антология языкового образования Е Шэнътао [М]. Пекин: Издательство народного образования. 1994.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Носикова Яна Николаевна Понятие «Познавательная самостоятельность»: историко-педагогический анализ // Наука и школа. 2015. №3. URL: https://cyberleninka.ru/article/n/ponyatie-poznavatelnaya-samostoyatelnost-istoriko-pedagogicheskiy-analiz (дата обращения: 08.11.2023).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Садова В. А. Педагогические основы развития информационно- познавательной самостоятельности студентов университета // Интеллект. Инновации. Инвестиции. 2011. №2. URL: https://cyberleninka.ru/article/n/pedagogicheskie-osnovy-razvitiya-informatsionno-poznavatelnoy-samostoyatelnosti-studentov-universiteta (дата обращения: 08.11.2023).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Хуан, Фуцюань, Учебные программы и педагогика/Новая серия учебников по образованию в 21 веке. Издательство Университета Китайской Народы, 2019, c336.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ItalicMT">
    <w:altName w:val="Microsoft YaHei"/>
    <w:panose1 w:val="00000000000000000000"/>
    <w:charset w:val="CC"/>
    <w:family w:val="auto"/>
    <w:pitch w:val="default"/>
    <w:sig w:usb0="00000000" w:usb1="00000000" w:usb2="00000000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FC5CF"/>
    <w:multiLevelType w:val="singleLevel"/>
    <w:tmpl w:val="EB4FC5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A567B1"/>
    <w:rsid w:val="146B5B8E"/>
    <w:rsid w:val="311E20B8"/>
    <w:rsid w:val="37F85C7D"/>
    <w:rsid w:val="398D4278"/>
    <w:rsid w:val="42422394"/>
    <w:rsid w:val="49AC55F6"/>
    <w:rsid w:val="548E3F00"/>
    <w:rsid w:val="60F715A3"/>
    <w:rsid w:val="6F7B5A75"/>
    <w:rsid w:val="77931FFA"/>
    <w:rsid w:val="7C5F38ED"/>
    <w:rsid w:val="A7A5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5"/>
    <w:qFormat/>
    <w:uiPriority w:val="68"/>
    <w:rPr>
      <w:color w:val="0000FF"/>
      <w:u w:val="single"/>
    </w:rPr>
  </w:style>
  <w:style w:type="character" w:customStyle="1" w:styleId="5">
    <w:name w:val="Default Paragraph Font"/>
    <w:qFormat/>
    <w:uiPriority w:val="6"/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2022-10-15T22:00:00Z</dcterms:created>
  <dc:creator>wangmengzhu</dc:creator>
  <cp:lastModifiedBy>User</cp:lastModifiedBy>
  <dcterms:modified xsi:type="dcterms:W3CDTF">2023-11-08T13:37:29Z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DAF488A92D1343D3A4E73083617DB8C8_12</vt:lpwstr>
  </property>
</Properties>
</file>