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E816" w14:textId="1F458A7C" w:rsidR="004840C4" w:rsidRDefault="004840C4" w:rsidP="00CB16C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Модель формирования академической грамотности в образовательном пространстве ВУЗа</w:t>
      </w:r>
    </w:p>
    <w:p w14:paraId="5FB56DC1" w14:textId="77777777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Тевс Виктория Владимировна</w:t>
      </w:r>
    </w:p>
    <w:p w14:paraId="1A02A039" w14:textId="72B30D50" w:rsidR="004840C4" w:rsidRDefault="004840C4" w:rsidP="00A9466B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Студент (магистр)</w:t>
      </w:r>
      <w:r w:rsidR="00A946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Ярославского государственного университета им. П.Г. Демидова, Ярославль, Россия</w:t>
      </w:r>
    </w:p>
    <w:p w14:paraId="31047181" w14:textId="77777777" w:rsidR="007B6D97" w:rsidRDefault="007B6D97" w:rsidP="00657449">
      <w:pPr>
        <w:pStyle w:val="a5"/>
        <w:spacing w:before="0" w:beforeAutospacing="0" w:after="0" w:afterAutospacing="0"/>
        <w:ind w:firstLine="720"/>
        <w:jc w:val="both"/>
      </w:pPr>
    </w:p>
    <w:p w14:paraId="4646DA8D" w14:textId="602D4E7F" w:rsidR="004840C4" w:rsidRDefault="00657449" w:rsidP="00657449">
      <w:pPr>
        <w:pStyle w:val="a5"/>
        <w:spacing w:before="0" w:beforeAutospacing="0" w:after="0" w:afterAutospacing="0"/>
        <w:ind w:firstLine="720"/>
        <w:jc w:val="both"/>
      </w:pPr>
      <w:r w:rsidRPr="00657449">
        <w:t>Ключевое место в дискуссии о задачах и направлении развития высшего образования</w:t>
      </w:r>
      <w:r w:rsidR="001825BE">
        <w:t xml:space="preserve"> </w:t>
      </w:r>
      <w:r w:rsidRPr="00657449">
        <w:t>занимает понятие академической грамотности</w:t>
      </w:r>
      <w:r>
        <w:t>. Н</w:t>
      </w:r>
      <w:r w:rsidRPr="00657449">
        <w:t xml:space="preserve">есмотря на значимость и актуальность </w:t>
      </w:r>
      <w:r w:rsidR="007E2955">
        <w:t>феномена</w:t>
      </w:r>
      <w:r w:rsidRPr="00657449">
        <w:t xml:space="preserve">, формирование </w:t>
      </w:r>
      <w:r w:rsidR="007E2955">
        <w:t>которого</w:t>
      </w:r>
      <w:r w:rsidRPr="00657449">
        <w:t xml:space="preserve"> в исследовательской литературе рассматривается в качестве институциональной обязанности, не существует универсального определения данного понятия, с которым бы единогласно согласились все ученые. Напротив, красной нитью через исследования, посвященные данному вопросу, проходит констатация того факта, что содержательные границы понятия размыты и требуют уточнения [Li 2022</w:t>
      </w:r>
      <w:r w:rsidR="00DB3205">
        <w:t>: 1</w:t>
      </w:r>
      <w:r w:rsidRPr="00657449">
        <w:t>].</w:t>
      </w:r>
      <w:r>
        <w:t xml:space="preserve"> </w:t>
      </w:r>
    </w:p>
    <w:p w14:paraId="4E4517AA" w14:textId="5DFCD740" w:rsidR="004840C4" w:rsidRDefault="004840C4" w:rsidP="004840C4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 нашем исследовании мы ставим</w:t>
      </w:r>
      <w:r w:rsidR="007E2955">
        <w:rPr>
          <w:color w:val="000000"/>
        </w:rPr>
        <w:t xml:space="preserve"> целью</w:t>
      </w:r>
      <w:r w:rsidR="00657449">
        <w:rPr>
          <w:color w:val="000000"/>
        </w:rPr>
        <w:t xml:space="preserve"> проанализировать понятие академической грамотности в свете разработанной нами</w:t>
      </w:r>
      <w:r>
        <w:rPr>
          <w:color w:val="000000"/>
        </w:rPr>
        <w:t xml:space="preserve"> модел</w:t>
      </w:r>
      <w:r w:rsidR="00657449">
        <w:rPr>
          <w:color w:val="000000"/>
        </w:rPr>
        <w:t>и</w:t>
      </w:r>
      <w:r>
        <w:rPr>
          <w:color w:val="000000"/>
        </w:rPr>
        <w:t xml:space="preserve"> и через ее призму </w:t>
      </w:r>
      <w:r w:rsidR="00FC104F">
        <w:rPr>
          <w:color w:val="000000"/>
        </w:rPr>
        <w:t>определить</w:t>
      </w:r>
      <w:r w:rsidR="008F3E08">
        <w:rPr>
          <w:color w:val="000000"/>
        </w:rPr>
        <w:t xml:space="preserve"> вектор </w:t>
      </w:r>
      <w:r w:rsidR="00FC104F">
        <w:rPr>
          <w:color w:val="000000"/>
        </w:rPr>
        <w:t>развития современного образования</w:t>
      </w:r>
      <w:r w:rsidR="008F3E08">
        <w:rPr>
          <w:color w:val="000000"/>
        </w:rPr>
        <w:t>.</w:t>
      </w:r>
    </w:p>
    <w:p w14:paraId="1EF03A93" w14:textId="45293C52" w:rsidR="00657449" w:rsidRDefault="001825BE" w:rsidP="004840C4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Теоретико-методологическую базу нашего исследования составил метод моделирования, который позволил нам</w:t>
      </w:r>
      <w:r w:rsidR="001478CA">
        <w:rPr>
          <w:color w:val="000000"/>
        </w:rPr>
        <w:t xml:space="preserve"> систематизировать </w:t>
      </w:r>
      <w:r>
        <w:rPr>
          <w:color w:val="000000"/>
        </w:rPr>
        <w:t xml:space="preserve">известную информацию об изучаемом предмете, </w:t>
      </w:r>
      <w:r w:rsidR="001478CA">
        <w:rPr>
          <w:color w:val="000000"/>
        </w:rPr>
        <w:t xml:space="preserve">а также составить «портрет» современного специалиста и определить условия его </w:t>
      </w:r>
      <w:r w:rsidR="007E2955">
        <w:rPr>
          <w:color w:val="000000"/>
        </w:rPr>
        <w:t>формирования</w:t>
      </w:r>
      <w:r w:rsidR="001478CA">
        <w:rPr>
          <w:color w:val="000000"/>
        </w:rPr>
        <w:t xml:space="preserve"> в пространстве вуза </w:t>
      </w:r>
      <w:r w:rsidR="001478CA" w:rsidRPr="001478CA">
        <w:rPr>
          <w:color w:val="000000"/>
        </w:rPr>
        <w:t>[</w:t>
      </w:r>
      <w:r w:rsidR="001478CA">
        <w:rPr>
          <w:color w:val="000000"/>
        </w:rPr>
        <w:t>Моисеенко</w:t>
      </w:r>
      <w:r w:rsidR="001458E1">
        <w:rPr>
          <w:color w:val="000000"/>
        </w:rPr>
        <w:t xml:space="preserve"> 1987:</w:t>
      </w:r>
      <w:r w:rsidR="001478CA">
        <w:rPr>
          <w:color w:val="000000"/>
        </w:rPr>
        <w:t xml:space="preserve"> 166</w:t>
      </w:r>
      <w:r w:rsidR="001478CA" w:rsidRPr="001478CA">
        <w:rPr>
          <w:color w:val="000000"/>
        </w:rPr>
        <w:t>]</w:t>
      </w:r>
      <w:r w:rsidR="001478CA">
        <w:rPr>
          <w:color w:val="000000"/>
        </w:rPr>
        <w:t>.</w:t>
      </w:r>
    </w:p>
    <w:p w14:paraId="38A0BB21" w14:textId="090297FC" w:rsidR="001478CA" w:rsidRPr="007B6D97" w:rsidRDefault="001478CA" w:rsidP="004840C4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1478CA">
        <w:rPr>
          <w:color w:val="000000"/>
        </w:rPr>
        <w:t xml:space="preserve">Точкой отсчета при конструировании модели </w:t>
      </w:r>
      <w:r>
        <w:rPr>
          <w:color w:val="000000"/>
        </w:rPr>
        <w:t>стала</w:t>
      </w:r>
      <w:r w:rsidRPr="001478CA">
        <w:rPr>
          <w:color w:val="000000"/>
        </w:rPr>
        <w:t xml:space="preserve"> идея, которая все чаще звучит в современных исследованиях и которая заключается в необходимости размывания границ между ключевыми подходами (лингвистический, когнитивный, социокультурный) и создания условий для их синергетического взаимодействия [Li 2022: 20]. Поэтому </w:t>
      </w:r>
      <w:r>
        <w:rPr>
          <w:color w:val="000000"/>
        </w:rPr>
        <w:t>на</w:t>
      </w:r>
      <w:r w:rsidR="00DB3205">
        <w:rPr>
          <w:color w:val="000000"/>
        </w:rPr>
        <w:t xml:space="preserve">ша модель </w:t>
      </w:r>
      <w:r>
        <w:rPr>
          <w:color w:val="000000"/>
        </w:rPr>
        <w:t>построен</w:t>
      </w:r>
      <w:r w:rsidR="00DB3205">
        <w:rPr>
          <w:color w:val="000000"/>
        </w:rPr>
        <w:t>а</w:t>
      </w:r>
      <w:r>
        <w:rPr>
          <w:color w:val="000000"/>
        </w:rPr>
        <w:t xml:space="preserve"> на перекрестке трех</w:t>
      </w:r>
      <w:r w:rsidRPr="001478CA">
        <w:rPr>
          <w:color w:val="000000"/>
        </w:rPr>
        <w:t xml:space="preserve"> измерени</w:t>
      </w:r>
      <w:r>
        <w:rPr>
          <w:color w:val="000000"/>
        </w:rPr>
        <w:t>й</w:t>
      </w:r>
      <w:r w:rsidRPr="001478CA">
        <w:rPr>
          <w:color w:val="000000"/>
        </w:rPr>
        <w:t>, которые находятся в следующей функциональной соподчиненности: когнитивный компонент существует в рамках социального, при этом вся система функционирует в рамках эмоционального измерения</w:t>
      </w:r>
      <w:r>
        <w:rPr>
          <w:color w:val="000000"/>
        </w:rPr>
        <w:t xml:space="preserve"> (рис. 1)</w:t>
      </w:r>
      <w:r w:rsidRPr="001478CA">
        <w:rPr>
          <w:color w:val="000000"/>
        </w:rPr>
        <w:t>.</w:t>
      </w:r>
    </w:p>
    <w:p w14:paraId="3B8E171A" w14:textId="2A9D83EF" w:rsidR="001478CA" w:rsidRDefault="001478CA" w:rsidP="004840C4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</w:p>
    <w:p w14:paraId="3B801D51" w14:textId="77DB2CAE" w:rsidR="001478CA" w:rsidRPr="004840C4" w:rsidRDefault="00FC104F" w:rsidP="004840C4">
      <w:pPr>
        <w:pStyle w:val="a5"/>
        <w:spacing w:before="0" w:beforeAutospacing="0" w:after="0" w:afterAutospacing="0"/>
        <w:ind w:firstLine="720"/>
        <w:jc w:val="both"/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C5F142B" wp14:editId="390B521B">
            <wp:simplePos x="0" y="0"/>
            <wp:positionH relativeFrom="page">
              <wp:align>center</wp:align>
            </wp:positionH>
            <wp:positionV relativeFrom="paragraph">
              <wp:posOffset>95885</wp:posOffset>
            </wp:positionV>
            <wp:extent cx="2580005" cy="2651760"/>
            <wp:effectExtent l="0" t="0" r="0" b="0"/>
            <wp:wrapTight wrapText="bothSides">
              <wp:wrapPolygon edited="0">
                <wp:start x="0" y="0"/>
                <wp:lineTo x="0" y="21414"/>
                <wp:lineTo x="21371" y="21414"/>
                <wp:lineTo x="2137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27" t="7551" r="26384" b="7323"/>
                    <a:stretch/>
                  </pic:blipFill>
                  <pic:spPr bwMode="auto">
                    <a:xfrm>
                      <a:off x="0" y="0"/>
                      <a:ext cx="258000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11D76" w14:textId="519CD95D" w:rsidR="004840C4" w:rsidRDefault="004840C4" w:rsidP="004840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EF808" w14:textId="7D2DC2FC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FF411" w14:textId="77777777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5EFFD" w14:textId="77777777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D94DA" w14:textId="77777777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A0C14" w14:textId="77777777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F027D" w14:textId="5FBFEC72" w:rsidR="004840C4" w:rsidRDefault="004840C4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ECDCB" w14:textId="5E89D2AA" w:rsid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3AF81" w14:textId="57F0D64C" w:rsid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9F527" w14:textId="3E0F3197" w:rsidR="00FC104F" w:rsidRDefault="00FC104F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E3E54" w14:textId="39D9F981" w:rsidR="00FC104F" w:rsidRDefault="00FC104F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58D4C" w14:textId="594A88BB" w:rsidR="00FC104F" w:rsidRDefault="00FC104F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C4BF9" w14:textId="77777777" w:rsidR="00FC104F" w:rsidRDefault="00FC104F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91ADF" w14:textId="5898B80C" w:rsid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998CC" w14:textId="37C7AE4A" w:rsid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6212E" w14:textId="08E3A274" w:rsid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E608A" w14:textId="409DFDF4" w:rsidR="00310FC9" w:rsidRPr="00310FC9" w:rsidRDefault="00310FC9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Рисунок 1. Модель формирования академической грамотности</w:t>
      </w:r>
    </w:p>
    <w:p w14:paraId="475DB1D6" w14:textId="77777777" w:rsidR="00FC104F" w:rsidRDefault="00FC104F" w:rsidP="00310FC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3A482" w14:textId="65E85FD8" w:rsidR="00310FC9" w:rsidRDefault="00310FC9" w:rsidP="00310FC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Обратимся к более подробному анализу каждого компонента и выделим ключевые черты, </w:t>
      </w:r>
      <w:r w:rsidR="008F3E0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составляющие 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профиль</w:t>
      </w:r>
      <w:r w:rsidR="008F3E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академически грамотного специалиста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5D2332" w14:textId="250C3C4A" w:rsidR="004840C4" w:rsidRDefault="00310FC9" w:rsidP="00310F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0F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Когнитивный компонент.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Корни данного компонента кроются в когнитивном подходе к формированию академической грамотности, главным результатом которого является развитие у учащихся мышления высшего порядк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, критического мышления и языка на профессиональном уровне [Li 2022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93C60" w:rsidRPr="00B93C60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нашем исследовании 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вслед за 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Р.П. </w:t>
      </w:r>
      <w:proofErr w:type="spellStart"/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льруд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proofErr w:type="spellEnd"/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А.А. Гончаров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 xml:space="preserve">ым под критическим мышлением 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мы будем понимать целенаправленный акт «познавательной деятельности, в котором подвергаются сомнению суждения, проверяются и перепроверяются аргументы, формируются собственные умозаключения, утверждаются взгляды и убеждения, принимаются решения» [</w:t>
      </w:r>
      <w:proofErr w:type="spellStart"/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Мильруд</w:t>
      </w:r>
      <w:proofErr w:type="spellEnd"/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, Гончаров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2003: 15]. </w:t>
      </w:r>
      <w:r w:rsidR="008F3E08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образом, на фоне лавинообразного генерирования информации академически грамотного специалиста отличает способность не только критически осмысливать получаемую информацию, но и </w:t>
      </w:r>
      <w:r w:rsidR="003A24C4">
        <w:rPr>
          <w:rFonts w:ascii="Times New Roman" w:eastAsia="Times New Roman" w:hAnsi="Times New Roman" w:cs="Times New Roman"/>
          <w:bCs/>
          <w:sz w:val="24"/>
          <w:szCs w:val="24"/>
        </w:rPr>
        <w:t>генерировать новое знание</w:t>
      </w:r>
      <w:r w:rsidR="002D32AC">
        <w:rPr>
          <w:rFonts w:ascii="Times New Roman" w:eastAsia="Times New Roman" w:hAnsi="Times New Roman" w:cs="Times New Roman"/>
          <w:bCs/>
          <w:sz w:val="24"/>
          <w:szCs w:val="24"/>
        </w:rPr>
        <w:t xml:space="preserve">, используя 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>новейшие</w:t>
      </w:r>
      <w:r w:rsidR="002D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D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платформы.</w:t>
      </w:r>
      <w:r w:rsidR="008F3E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B78B942" w14:textId="2D2D0511" w:rsidR="00310FC9" w:rsidRDefault="00310FC9" w:rsidP="00310F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0FC9">
        <w:rPr>
          <w:rFonts w:ascii="Times New Roman" w:eastAsia="Times New Roman" w:hAnsi="Times New Roman" w:cs="Times New Roman"/>
          <w:b/>
          <w:sz w:val="24"/>
          <w:szCs w:val="24"/>
        </w:rPr>
        <w:t>Социальный компонент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>Второе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измерение пронизывает идея о социальной природе знания. Так, в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новой модели грамотности учащиеся выходят на академическую авансцену в роли социальных агентов, которые выполняют значимые для них задачи и в процессе выполнения мобилизуют все умения и ресурсы, 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>имеющиеся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их репертуаре [CEFR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>: 30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].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менно учащиеся начинают играть роль медиаторов, выбирающих способы достижения поставленной цели, оказывающих поддержку сотоварищами, 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>и, как следствие, достигающих новые рубежи «зоны ближайшего развития»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 xml:space="preserve">. Таким образом, 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>ключевым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становится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готовность учащихся 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>принимать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ответственность за свое обучение, 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также выполнять активную роль в конструировании 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>знания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>, которое рождается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диалоге с другими социальными агентами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>, а не передается в монологическом выступлении преподавателя</w:t>
      </w:r>
      <w:r w:rsidR="007E295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6D7D3A" w14:textId="446CCB87" w:rsidR="002D32AC" w:rsidRDefault="00310FC9" w:rsidP="00310F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0FC9">
        <w:rPr>
          <w:rFonts w:ascii="Times New Roman" w:eastAsia="Times New Roman" w:hAnsi="Times New Roman" w:cs="Times New Roman"/>
          <w:b/>
          <w:sz w:val="24"/>
          <w:szCs w:val="24"/>
        </w:rPr>
        <w:t>Эмоциональный компонент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оздатели системы CEFR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отмечают</w:t>
      </w:r>
      <w:r w:rsidRPr="00310FC9">
        <w:rPr>
          <w:rFonts w:ascii="Times New Roman" w:eastAsia="Times New Roman" w:hAnsi="Times New Roman" w:cs="Times New Roman"/>
          <w:bCs/>
          <w:sz w:val="24"/>
          <w:szCs w:val="24"/>
        </w:rPr>
        <w:t>, для успешной реализации медиативной роли учащиеся должны обладать высоким уровнем эмоционального интеллекта (ЭИ) [CEFR 2020: 91]. Поэтому если когнитивный компонент существует в «пузыре» социального измерения, то вся система грамотности погружена в эмоциональную сферу.</w:t>
      </w:r>
      <w:r w:rsidR="002D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нашем исследовании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основу эмоционального измерения составляет модель </w:t>
      </w:r>
      <w:r w:rsidR="0037166A" w:rsidRP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К. </w:t>
      </w:r>
      <w:proofErr w:type="spellStart"/>
      <w:r w:rsidR="0037166A" w:rsidRPr="0037166A">
        <w:rPr>
          <w:rFonts w:ascii="Times New Roman" w:eastAsia="Times New Roman" w:hAnsi="Times New Roman" w:cs="Times New Roman"/>
          <w:bCs/>
          <w:sz w:val="24"/>
          <w:szCs w:val="24"/>
        </w:rPr>
        <w:t>Петридеса</w:t>
      </w:r>
      <w:proofErr w:type="spellEnd"/>
      <w:r w:rsidR="0037166A" w:rsidRP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А. </w:t>
      </w:r>
      <w:proofErr w:type="spellStart"/>
      <w:r w:rsidR="0037166A" w:rsidRPr="0037166A">
        <w:rPr>
          <w:rFonts w:ascii="Times New Roman" w:eastAsia="Times New Roman" w:hAnsi="Times New Roman" w:cs="Times New Roman"/>
          <w:bCs/>
          <w:sz w:val="24"/>
          <w:szCs w:val="24"/>
        </w:rPr>
        <w:t>Фернхема</w:t>
      </w:r>
      <w:proofErr w:type="spellEnd"/>
      <w:r w:rsidR="0037166A" w:rsidRPr="0037166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которая</w:t>
      </w:r>
      <w:r w:rsidR="00DB3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>включает</w:t>
      </w:r>
      <w:r w:rsidR="0037166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себя три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опорные точки: </w:t>
      </w:r>
      <w:r w:rsidR="00A53D73" w:rsidRPr="00A53D73">
        <w:rPr>
          <w:rFonts w:ascii="Times New Roman" w:eastAsia="Times New Roman" w:hAnsi="Times New Roman" w:cs="Times New Roman"/>
          <w:bCs/>
          <w:sz w:val="24"/>
          <w:szCs w:val="24"/>
        </w:rPr>
        <w:t>(1) когнитивные способности, связанные с оперированием эмоциями; (2) личностные черты, помогающие эффективно оперировать эмоциями: счастье, оптимизм, самоуважение и пр.; (3) компетенции, связанные с использованием ЭИ: поддержание отношений и социальная компетентность [Панкратова, 2021].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Таким образом, финальный штрих помогает нам увидеть учащихся </w:t>
      </w:r>
      <w:r w:rsidR="00FC104F">
        <w:rPr>
          <w:rFonts w:ascii="Times New Roman" w:eastAsia="Times New Roman" w:hAnsi="Times New Roman" w:cs="Times New Roman"/>
          <w:bCs/>
          <w:sz w:val="24"/>
          <w:szCs w:val="24"/>
        </w:rPr>
        <w:t>в цельности, не как пассивных реципиентов языкового кода, но как деятельных социальных агентов и личностей.</w:t>
      </w:r>
    </w:p>
    <w:p w14:paraId="40DECD67" w14:textId="47822578" w:rsidR="002D32AC" w:rsidRDefault="002D32AC" w:rsidP="00310F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Подводя общий итог, </w:t>
      </w:r>
      <w:r w:rsidR="00A53D73">
        <w:rPr>
          <w:rFonts w:ascii="Times New Roman" w:eastAsia="Times New Roman" w:hAnsi="Times New Roman" w:cs="Times New Roman"/>
          <w:bCs/>
          <w:sz w:val="24"/>
          <w:szCs w:val="24"/>
        </w:rPr>
        <w:t>важно подчеркнуть метапредметную и многомерную природу академической грамотности</w:t>
      </w:r>
      <w:r w:rsidR="008621C7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которая выходит за рамки умения читать и писать и включает в себя </w:t>
      </w:r>
      <w:r w:rsidR="00296663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воздействие на личность студентов на трех уровнях: когнитивном, социальном и эмоциональном. </w:t>
      </w:r>
      <w:r w:rsidR="00B93C60">
        <w:rPr>
          <w:rFonts w:ascii="Times New Roman" w:eastAsia="Times New Roman" w:hAnsi="Times New Roman" w:cs="Times New Roman"/>
          <w:bCs/>
          <w:sz w:val="24"/>
          <w:szCs w:val="24"/>
        </w:rPr>
        <w:t>В свете данной модели процесс обучения превращается в создание пространства для формирования личностей учащихся и совместного генерирования знания.</w:t>
      </w:r>
    </w:p>
    <w:p w14:paraId="0E4D98B2" w14:textId="194C11E0" w:rsidR="008F3E08" w:rsidRDefault="008F3E08" w:rsidP="00B93C6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CF6BB4" w14:textId="277131E7" w:rsidR="008F3E08" w:rsidRPr="008F3E08" w:rsidRDefault="008F3E08" w:rsidP="008F3E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F3E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Выражаю особую благодарность моему научному руководителю</w:t>
      </w:r>
      <w:r w:rsidR="00A53D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8F3E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Касаткиной Наталье Николаевне</w:t>
      </w:r>
      <w:r w:rsidR="00A53D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8F3E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 всестороннюю поддержку</w:t>
      </w:r>
      <w:r w:rsidR="00A53D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вдохновляющую исследовать все новые берега науки.</w:t>
      </w:r>
    </w:p>
    <w:p w14:paraId="21B3A0A2" w14:textId="77777777" w:rsidR="00310FC9" w:rsidRDefault="00310FC9" w:rsidP="00310F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D65C5" w14:textId="0E017BEE" w:rsidR="004840C4" w:rsidRDefault="008F3E08" w:rsidP="00484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8F631D4" w14:textId="77777777" w:rsidR="004840C4" w:rsidRDefault="004840C4" w:rsidP="004840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23DD9" w14:textId="77777777" w:rsidR="004840C4" w:rsidRPr="004840C4" w:rsidRDefault="004840C4" w:rsidP="004840C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EBFC0" w14:textId="77777777" w:rsidR="00CB16C4" w:rsidRDefault="00CB16C4" w:rsidP="00A94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205">
        <w:rPr>
          <w:rFonts w:ascii="Times New Roman" w:hAnsi="Times New Roman" w:cs="Times New Roman"/>
          <w:sz w:val="24"/>
          <w:szCs w:val="24"/>
          <w:lang w:val="en-US"/>
        </w:rPr>
        <w:t>Enriching 21st century language education. The CEFR Companion volume in practice. Strasbourg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3205">
        <w:rPr>
          <w:rFonts w:ascii="Times New Roman" w:hAnsi="Times New Roman" w:cs="Times New Roman"/>
          <w:sz w:val="24"/>
          <w:szCs w:val="24"/>
          <w:lang w:val="en-US"/>
        </w:rPr>
        <w:t xml:space="preserve"> 2022. </w:t>
      </w:r>
    </w:p>
    <w:p w14:paraId="6D2EFDF1" w14:textId="77777777" w:rsidR="00CB16C4" w:rsidRPr="00FC104F" w:rsidRDefault="00CB16C4" w:rsidP="00A94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21C7">
        <w:rPr>
          <w:rFonts w:ascii="Times New Roman" w:hAnsi="Times New Roman" w:cs="Times New Roman"/>
          <w:sz w:val="24"/>
          <w:szCs w:val="24"/>
          <w:lang w:val="en-US"/>
        </w:rPr>
        <w:t xml:space="preserve">Li D. A review of academic literacy research development: from 2002 to 2019 // Asian. J. Second. Foreign. Lang. Educ. 2022. Pp. 1-22. </w:t>
      </w:r>
    </w:p>
    <w:p w14:paraId="3ED1000C" w14:textId="77777777" w:rsidR="00CB16C4" w:rsidRDefault="00CB16C4" w:rsidP="00A94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60">
        <w:rPr>
          <w:rFonts w:ascii="Times New Roman" w:hAnsi="Times New Roman" w:cs="Times New Roman"/>
          <w:sz w:val="24"/>
          <w:szCs w:val="24"/>
        </w:rPr>
        <w:lastRenderedPageBreak/>
        <w:t>Мильруд</w:t>
      </w:r>
      <w:proofErr w:type="spellEnd"/>
      <w:r w:rsidRPr="00B93C60">
        <w:rPr>
          <w:rFonts w:ascii="Times New Roman" w:hAnsi="Times New Roman" w:cs="Times New Roman"/>
          <w:sz w:val="24"/>
          <w:szCs w:val="24"/>
        </w:rPr>
        <w:t xml:space="preserve"> Р.П., Гончаров А.А. Теоретические и практические проблемы обучения пониманию коммуникативного смысла иноязычного текста // Теоретические вопросы обучения иностранным языкам. </w:t>
      </w:r>
      <w:r>
        <w:rPr>
          <w:rFonts w:ascii="Times New Roman" w:hAnsi="Times New Roman" w:cs="Times New Roman"/>
          <w:sz w:val="24"/>
          <w:szCs w:val="24"/>
        </w:rPr>
        <w:t xml:space="preserve">2003. </w:t>
      </w:r>
      <w:r w:rsidRPr="00B93C60">
        <w:rPr>
          <w:rFonts w:ascii="Times New Roman" w:hAnsi="Times New Roman" w:cs="Times New Roman"/>
          <w:sz w:val="24"/>
          <w:szCs w:val="24"/>
        </w:rPr>
        <w:t>С. 12-18</w:t>
      </w:r>
    </w:p>
    <w:p w14:paraId="72FBA765" w14:textId="77777777" w:rsidR="00CB16C4" w:rsidRPr="008621C7" w:rsidRDefault="00CB16C4" w:rsidP="00A94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40C4">
        <w:rPr>
          <w:rFonts w:ascii="Times New Roman" w:hAnsi="Times New Roman" w:cs="Times New Roman"/>
          <w:sz w:val="24"/>
          <w:szCs w:val="24"/>
        </w:rPr>
        <w:t>Моисеев</w:t>
      </w:r>
      <w:r>
        <w:rPr>
          <w:rFonts w:ascii="Times New Roman" w:hAnsi="Times New Roman" w:cs="Times New Roman"/>
          <w:sz w:val="24"/>
          <w:szCs w:val="24"/>
        </w:rPr>
        <w:t xml:space="preserve"> Н.Н. Алгоритмы развития. М., 1987.</w:t>
      </w:r>
    </w:p>
    <w:p w14:paraId="3B51C221" w14:textId="77777777" w:rsidR="00CB16C4" w:rsidRPr="00CB16C4" w:rsidRDefault="00CB16C4" w:rsidP="00A94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04F">
        <w:rPr>
          <w:rFonts w:ascii="Times New Roman" w:hAnsi="Times New Roman" w:cs="Times New Roman"/>
          <w:sz w:val="24"/>
          <w:szCs w:val="24"/>
        </w:rPr>
        <w:t xml:space="preserve">Панкратова А.А., Корниенко Д.С., Фетисова А.В. Русскоязычная адаптация краткой версии опросника </w:t>
      </w:r>
      <w:proofErr w:type="spellStart"/>
      <w:r w:rsidRPr="008621C7">
        <w:rPr>
          <w:rFonts w:ascii="Times New Roman" w:hAnsi="Times New Roman" w:cs="Times New Roman"/>
          <w:sz w:val="24"/>
          <w:szCs w:val="24"/>
          <w:lang w:val="en-US"/>
        </w:rPr>
        <w:t>TEIQue</w:t>
      </w:r>
      <w:proofErr w:type="spellEnd"/>
      <w:r w:rsidRPr="00FC104F">
        <w:rPr>
          <w:rFonts w:ascii="Times New Roman" w:hAnsi="Times New Roman" w:cs="Times New Roman"/>
          <w:sz w:val="24"/>
          <w:szCs w:val="24"/>
        </w:rPr>
        <w:t xml:space="preserve"> (</w:t>
      </w:r>
      <w:r w:rsidRPr="008621C7">
        <w:rPr>
          <w:rFonts w:ascii="Times New Roman" w:hAnsi="Times New Roman" w:cs="Times New Roman"/>
          <w:sz w:val="24"/>
          <w:szCs w:val="24"/>
          <w:lang w:val="en-US"/>
        </w:rPr>
        <w:t>Trait</w:t>
      </w:r>
      <w:r w:rsidRPr="00FC104F">
        <w:rPr>
          <w:rFonts w:ascii="Times New Roman" w:hAnsi="Times New Roman" w:cs="Times New Roman"/>
          <w:sz w:val="24"/>
          <w:szCs w:val="24"/>
        </w:rPr>
        <w:t xml:space="preserve"> </w:t>
      </w:r>
      <w:r w:rsidRPr="008621C7">
        <w:rPr>
          <w:rFonts w:ascii="Times New Roman" w:hAnsi="Times New Roman" w:cs="Times New Roman"/>
          <w:sz w:val="24"/>
          <w:szCs w:val="24"/>
          <w:lang w:val="en-US"/>
        </w:rPr>
        <w:t>Emotional</w:t>
      </w:r>
      <w:r w:rsidRPr="00FC104F">
        <w:rPr>
          <w:rFonts w:ascii="Times New Roman" w:hAnsi="Times New Roman" w:cs="Times New Roman"/>
          <w:sz w:val="24"/>
          <w:szCs w:val="24"/>
        </w:rPr>
        <w:t xml:space="preserve"> </w:t>
      </w:r>
      <w:r w:rsidRPr="008621C7">
        <w:rPr>
          <w:rFonts w:ascii="Times New Roman" w:hAnsi="Times New Roman" w:cs="Times New Roman"/>
          <w:sz w:val="24"/>
          <w:szCs w:val="24"/>
          <w:lang w:val="en-US"/>
        </w:rPr>
        <w:t>Intelligence</w:t>
      </w:r>
      <w:r w:rsidRPr="00FC104F">
        <w:rPr>
          <w:rFonts w:ascii="Times New Roman" w:hAnsi="Times New Roman" w:cs="Times New Roman"/>
          <w:sz w:val="24"/>
          <w:szCs w:val="24"/>
        </w:rPr>
        <w:t xml:space="preserve"> </w:t>
      </w:r>
      <w:r w:rsidRPr="008621C7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Pr="00FC104F">
        <w:rPr>
          <w:rFonts w:ascii="Times New Roman" w:hAnsi="Times New Roman" w:cs="Times New Roman"/>
          <w:sz w:val="24"/>
          <w:szCs w:val="24"/>
        </w:rPr>
        <w:t xml:space="preserve">) К. </w:t>
      </w:r>
      <w:proofErr w:type="spellStart"/>
      <w:r w:rsidRPr="00FC104F">
        <w:rPr>
          <w:rFonts w:ascii="Times New Roman" w:hAnsi="Times New Roman" w:cs="Times New Roman"/>
          <w:sz w:val="24"/>
          <w:szCs w:val="24"/>
        </w:rPr>
        <w:t>Петридеса</w:t>
      </w:r>
      <w:proofErr w:type="spellEnd"/>
      <w:r w:rsidRPr="00FC104F">
        <w:rPr>
          <w:rFonts w:ascii="Times New Roman" w:hAnsi="Times New Roman" w:cs="Times New Roman"/>
          <w:sz w:val="24"/>
          <w:szCs w:val="24"/>
        </w:rPr>
        <w:t xml:space="preserve"> и А. </w:t>
      </w:r>
      <w:proofErr w:type="spellStart"/>
      <w:r w:rsidRPr="00FC104F">
        <w:rPr>
          <w:rFonts w:ascii="Times New Roman" w:hAnsi="Times New Roman" w:cs="Times New Roman"/>
          <w:sz w:val="24"/>
          <w:szCs w:val="24"/>
        </w:rPr>
        <w:t>Фернхема</w:t>
      </w:r>
      <w:proofErr w:type="spellEnd"/>
      <w:r w:rsidRPr="00FC104F">
        <w:rPr>
          <w:rFonts w:ascii="Times New Roman" w:hAnsi="Times New Roman" w:cs="Times New Roman"/>
          <w:sz w:val="24"/>
          <w:szCs w:val="24"/>
        </w:rPr>
        <w:t xml:space="preserve"> // Вопросы психологии. </w:t>
      </w:r>
      <w:r w:rsidRPr="00CB16C4">
        <w:rPr>
          <w:rFonts w:ascii="Times New Roman" w:hAnsi="Times New Roman" w:cs="Times New Roman"/>
          <w:sz w:val="24"/>
          <w:szCs w:val="24"/>
        </w:rPr>
        <w:t>2021. Т. 67. №1. С. 130-144</w:t>
      </w:r>
    </w:p>
    <w:sectPr w:rsidR="00CB16C4" w:rsidRPr="00CB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6F9B" w14:textId="77777777" w:rsidR="00757DBA" w:rsidRDefault="00757DBA" w:rsidP="008F3E08">
      <w:pPr>
        <w:spacing w:line="240" w:lineRule="auto"/>
      </w:pPr>
      <w:r>
        <w:separator/>
      </w:r>
    </w:p>
  </w:endnote>
  <w:endnote w:type="continuationSeparator" w:id="0">
    <w:p w14:paraId="796BAA44" w14:textId="77777777" w:rsidR="00757DBA" w:rsidRDefault="00757DBA" w:rsidP="008F3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B4BC" w14:textId="77777777" w:rsidR="00757DBA" w:rsidRDefault="00757DBA" w:rsidP="008F3E08">
      <w:pPr>
        <w:spacing w:line="240" w:lineRule="auto"/>
      </w:pPr>
      <w:r>
        <w:separator/>
      </w:r>
    </w:p>
  </w:footnote>
  <w:footnote w:type="continuationSeparator" w:id="0">
    <w:p w14:paraId="3741DDEA" w14:textId="77777777" w:rsidR="00757DBA" w:rsidRDefault="00757DBA" w:rsidP="008F3E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2673"/>
    <w:multiLevelType w:val="multilevel"/>
    <w:tmpl w:val="6360C0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1C010BF"/>
    <w:multiLevelType w:val="hybridMultilevel"/>
    <w:tmpl w:val="75D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60DF9"/>
    <w:multiLevelType w:val="hybridMultilevel"/>
    <w:tmpl w:val="1A1C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E4"/>
    <w:rsid w:val="001458E1"/>
    <w:rsid w:val="001478CA"/>
    <w:rsid w:val="001825BE"/>
    <w:rsid w:val="00296663"/>
    <w:rsid w:val="002D32AC"/>
    <w:rsid w:val="00310FC9"/>
    <w:rsid w:val="0037166A"/>
    <w:rsid w:val="003A24C4"/>
    <w:rsid w:val="004840C4"/>
    <w:rsid w:val="00657449"/>
    <w:rsid w:val="00690921"/>
    <w:rsid w:val="00757DBA"/>
    <w:rsid w:val="007B6D97"/>
    <w:rsid w:val="007E2955"/>
    <w:rsid w:val="008621C7"/>
    <w:rsid w:val="008F3E08"/>
    <w:rsid w:val="009269E4"/>
    <w:rsid w:val="00A53D73"/>
    <w:rsid w:val="00A9466B"/>
    <w:rsid w:val="00A97560"/>
    <w:rsid w:val="00B93C60"/>
    <w:rsid w:val="00BD2FFA"/>
    <w:rsid w:val="00CB16C4"/>
    <w:rsid w:val="00DB3205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8155"/>
  <w15:chartTrackingRefBased/>
  <w15:docId w15:val="{6CC7C116-16E9-4E56-BB23-6CA48EBF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C4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0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40C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F3E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3E08"/>
    <w:rPr>
      <w:rFonts w:ascii="Arial" w:eastAsia="Arial" w:hAnsi="Arial" w:cs="Arial"/>
      <w:lang w:eastAsia="ru-RU"/>
    </w:rPr>
  </w:style>
  <w:style w:type="paragraph" w:styleId="a8">
    <w:name w:val="footer"/>
    <w:basedOn w:val="a"/>
    <w:link w:val="a9"/>
    <w:uiPriority w:val="99"/>
    <w:unhideWhenUsed/>
    <w:rsid w:val="008F3E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E08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9122-0A21-4756-8840-CE9DF498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730</Words>
  <Characters>5264</Characters>
  <Application>Microsoft Office Word</Application>
  <DocSecurity>0</DocSecurity>
  <Lines>112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Тевс</dc:creator>
  <cp:keywords/>
  <dc:description/>
  <cp:lastModifiedBy>Виктория Тевс</cp:lastModifiedBy>
  <cp:revision>9</cp:revision>
  <dcterms:created xsi:type="dcterms:W3CDTF">2024-02-16T14:45:00Z</dcterms:created>
  <dcterms:modified xsi:type="dcterms:W3CDTF">2024-02-16T18:50:00Z</dcterms:modified>
</cp:coreProperties>
</file>