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EA51" w14:textId="737132BB" w:rsidR="002F5482" w:rsidRPr="0023714E" w:rsidRDefault="003F4FC3" w:rsidP="00E9701C">
      <w:p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Как известно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,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</w:t>
      </w:r>
      <w:r w:rsidRPr="0023714E">
        <w:rPr>
          <w:rFonts w:ascii="Times New Roman" w:eastAsia="Arial" w:hAnsi="Times New Roman" w:cs="Times New Roman"/>
          <w:kern w:val="0"/>
          <w:sz w:val="24"/>
          <w:szCs w:val="24"/>
          <w:lang w:val="ru-RU" w:bidi="ar"/>
        </w:rPr>
        <w:t xml:space="preserve">название является одной из ключевых позиций </w:t>
      </w:r>
      <w:r w:rsidR="00E9701C" w:rsidRPr="0023714E">
        <w:rPr>
          <w:rFonts w:ascii="Times New Roman" w:eastAsia="Arial" w:hAnsi="Times New Roman" w:cs="Times New Roman"/>
          <w:kern w:val="0"/>
          <w:sz w:val="24"/>
          <w:szCs w:val="24"/>
          <w:lang w:val="ru-RU" w:bidi="ar"/>
        </w:rPr>
        <w:t xml:space="preserve">художественного </w:t>
      </w:r>
      <w:r w:rsidRPr="0023714E">
        <w:rPr>
          <w:rFonts w:ascii="Times New Roman" w:eastAsia="Arial" w:hAnsi="Times New Roman" w:cs="Times New Roman"/>
          <w:kern w:val="0"/>
          <w:sz w:val="24"/>
          <w:szCs w:val="24"/>
          <w:lang w:val="ru-RU" w:bidi="ar"/>
        </w:rPr>
        <w:t xml:space="preserve">текста, влияющей на восприятие образа читателями. </w:t>
      </w:r>
      <w:r w:rsidR="002F5482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Очень часто заглавие содержит собственное имя литературного героя, как, например, в </w:t>
      </w:r>
      <w:r w:rsidR="002F5482" w:rsidRPr="0023714E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 xml:space="preserve">романе «Чапаев». </w:t>
      </w:r>
    </w:p>
    <w:p w14:paraId="550DEF44" w14:textId="55D69A57" w:rsidR="00B442CF" w:rsidRPr="0023714E" w:rsidRDefault="002F5482" w:rsidP="00E9701C">
      <w:pPr>
        <w:spacing w:line="276" w:lineRule="auto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«Чапаев» – заглавие романа, написанного 100 лет назад советским писателем Дмитрием Александровичем Фурмановым. Однако вопрос о том, как передать на китайском языке семантику данного наименования без искажения значений, является далеко не 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таким 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простым,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как кажется на первый взгляд. П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рослеживание диахронии изменения перевода этого названия позволит нам увидеть не только семантические изменения, но и изменения, связанные с общественно-историческими причинами</w:t>
      </w:r>
      <w:r w:rsidR="00AF7BEE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.  </w:t>
      </w:r>
      <w:r w:rsidRPr="0023714E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1706EA0" w14:textId="7B148168" w:rsidR="00AF7BEE" w:rsidRPr="0023714E" w:rsidRDefault="002F5482" w:rsidP="00E9701C">
      <w:p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Ради этой цели 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 нашем исследовании 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бы</w:t>
      </w:r>
      <w:r w:rsidR="00AF7BEE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ли использованы следующие методы: </w:t>
      </w:r>
    </w:p>
    <w:p w14:paraId="5CDE28F6" w14:textId="77777777" w:rsidR="00AF7BEE" w:rsidRPr="0023714E" w:rsidRDefault="00AF7BEE" w:rsidP="00E9701C">
      <w:pPr>
        <w:numPr>
          <w:ilvl w:val="0"/>
          <w:numId w:val="1"/>
        </w:num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Во-первых, был проведен лингвистический анализ переводов и их </w:t>
      </w:r>
      <w:proofErr w:type="spellStart"/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контрастивный</w:t>
      </w:r>
      <w:proofErr w:type="spellEnd"/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анализ. С помощью данных методов мы, во-вторых, выявили различия в семантических оттенках переведенных названий и сравнили их особенности. </w:t>
      </w:r>
    </w:p>
    <w:p w14:paraId="51D64D11" w14:textId="6766DA9A" w:rsidR="00AF7BEE" w:rsidRPr="0023714E" w:rsidRDefault="00E9701C" w:rsidP="00E9701C">
      <w:pPr>
        <w:numPr>
          <w:ilvl w:val="0"/>
          <w:numId w:val="1"/>
        </w:num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Далее мы рассмотрели</w:t>
      </w:r>
      <w:r w:rsidR="00AF7BEE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диахронию вариантов переводов романа Фурманова «Чапаев» и с помощью анализа историко-общественн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ого контекста выявили</w:t>
      </w:r>
      <w:r w:rsidR="00AF7BEE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причины изменения в переводе этого названия.  </w:t>
      </w:r>
    </w:p>
    <w:p w14:paraId="3EEE5AE8" w14:textId="5CC1AF4E" w:rsidR="00AF7BEE" w:rsidRPr="0023714E" w:rsidRDefault="00AF7BEE" w:rsidP="00E9701C">
      <w:p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Но до нача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ла анализа самого произведения 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нам нужно обратить внимание 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на особенности китайского языка. Обычно при передаче 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 китайском 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иностранных имен происходит фонетическое заимствование. Кажется, что в таких случаях лексические единицы, соединяясь и обозначая конкретное слово, теряют свою семантику и используются только по фонетическому принципу. Однако даже если на первый взгляд слово, представленное собственным именем, не имеет значения, каждый иероглиф отдельно все равно несет свое значение и </w:t>
      </w:r>
      <w:proofErr w:type="spellStart"/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оценочность</w:t>
      </w:r>
      <w:proofErr w:type="spellEnd"/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. Поэтому даже если название является фонетическим заимствованием, семантику разных иероглифов оно также передает.</w:t>
      </w:r>
    </w:p>
    <w:p w14:paraId="40E29960" w14:textId="67F6140F" w:rsidR="007A0D48" w:rsidRPr="0023714E" w:rsidRDefault="00B442CF" w:rsidP="00E9701C">
      <w:p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Например, в переводах романа Ф. М. Достоевского «Бедные люди», выполненных переводчиками Цао </w:t>
      </w:r>
      <w:proofErr w:type="spellStart"/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Маньси</w:t>
      </w:r>
      <w:proofErr w:type="spellEnd"/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[</w:t>
      </w:r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Достоевский. Бедные люди. Белые ночи. Игрок. Пер. с рус. Цао </w:t>
      </w:r>
      <w:proofErr w:type="spellStart"/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Маньси</w:t>
      </w:r>
      <w:proofErr w:type="spellEnd"/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 2001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], Лэй </w:t>
      </w:r>
      <w:proofErr w:type="spellStart"/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Жань</w:t>
      </w:r>
      <w:proofErr w:type="spellEnd"/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[</w:t>
      </w:r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Достоевский. Бедные люди. Пер. с рус. Лэй </w:t>
      </w:r>
      <w:proofErr w:type="spellStart"/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Жань</w:t>
      </w:r>
      <w:proofErr w:type="spellEnd"/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, Го </w:t>
      </w:r>
      <w:proofErr w:type="spellStart"/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>Цзяшеня</w:t>
      </w:r>
      <w:proofErr w:type="spellEnd"/>
      <w:r w:rsidRPr="0023714E">
        <w:rPr>
          <w:rFonts w:ascii="Times New Roman" w:eastAsia="宋体" w:hAnsi="Times New Roman" w:cs="Times New Roman"/>
          <w:sz w:val="24"/>
          <w:szCs w:val="24"/>
          <w:shd w:val="clear" w:color="auto" w:fill="FFFFFF"/>
          <w:lang w:val="ru-RU"/>
        </w:rPr>
        <w:t xml:space="preserve"> 2010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] и др., фамилия главного героя этого произведения Девушкина переводится как 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杰武什金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.</w:t>
      </w:r>
      <w:r w:rsidR="00E9701C" w:rsidRPr="0023714E">
        <w:rPr>
          <w:rFonts w:ascii="Times New Roman" w:eastAsia="宋体" w:hAnsi="Times New Roman" w:cs="Times New Roman" w:hint="eastAsia"/>
          <w:sz w:val="24"/>
          <w:szCs w:val="24"/>
          <w:lang w:val="ru-RU"/>
        </w:rPr>
        <w:t xml:space="preserve"> 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Если разобрать 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 этой фамилии 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значение каждого иероглифа-лексемы отдельно, то они будут следующими: </w:t>
      </w:r>
      <w:r w:rsidR="007A0D48" w:rsidRPr="0023714E">
        <w:rPr>
          <w:rFonts w:ascii="Times New Roman" w:eastAsia="宋体" w:hAnsi="Times New Roman" w:cs="Times New Roman"/>
          <w:sz w:val="24"/>
          <w:szCs w:val="24"/>
        </w:rPr>
        <w:t>杰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«выдающийся человек», </w:t>
      </w:r>
      <w:r w:rsidR="007A0D48" w:rsidRPr="0023714E">
        <w:rPr>
          <w:rFonts w:ascii="Times New Roman" w:eastAsia="宋体" w:hAnsi="Times New Roman" w:cs="Times New Roman"/>
          <w:sz w:val="24"/>
          <w:szCs w:val="24"/>
        </w:rPr>
        <w:t>武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«мужественный», </w:t>
      </w:r>
      <w:r w:rsidR="007A0D48" w:rsidRPr="0023714E">
        <w:rPr>
          <w:rFonts w:ascii="Times New Roman" w:eastAsia="宋体" w:hAnsi="Times New Roman" w:cs="Times New Roman"/>
          <w:sz w:val="24"/>
          <w:szCs w:val="24"/>
        </w:rPr>
        <w:t>什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«</w:t>
      </w:r>
      <w:r w:rsidR="007A0D48" w:rsidRPr="0023714E"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  <w:t xml:space="preserve">всевозможный», </w:t>
      </w:r>
      <w:r w:rsidR="007A0D48" w:rsidRPr="0023714E">
        <w:rPr>
          <w:rFonts w:ascii="Times New Roman" w:eastAsia="宋体" w:hAnsi="Times New Roman" w:cs="Times New Roman"/>
          <w:sz w:val="24"/>
          <w:szCs w:val="24"/>
        </w:rPr>
        <w:t>金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«золото». Такое имя вызывает в читателе скорее образ выдающегося, талантливого и богатого мужчины, а не образ несчастного </w:t>
      </w:r>
      <w:r w:rsidR="00E9701C" w:rsidRPr="0023714E"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  <w:t>«маленького человека» Девушкина.</w:t>
      </w:r>
      <w:r w:rsidR="007A0D48" w:rsidRPr="0023714E"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  <w:t xml:space="preserve"> Поэтому подбор правильных иероглифов для заимствования является очень важным аспектом перевода, что, как мы увидим, также стало </w:t>
      </w:r>
      <w:r w:rsidR="007A0D48" w:rsidRPr="0023714E"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  <w:lastRenderedPageBreak/>
        <w:t xml:space="preserve">причиной двух разных переводов названия романа </w:t>
      </w:r>
      <w:r w:rsidR="007A0D48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>«Чапаев».</w:t>
      </w:r>
    </w:p>
    <w:p w14:paraId="2E3BA2D5" w14:textId="00E80999" w:rsidR="006F573E" w:rsidRPr="0023714E" w:rsidRDefault="007A0D48" w:rsidP="00E9701C">
      <w:p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Официально у названия «Чапаев» есть два перевода – это </w:t>
      </w:r>
      <w:r w:rsidRPr="0023714E">
        <w:rPr>
          <w:rFonts w:ascii="Times New Roman" w:eastAsia="宋体" w:hAnsi="Times New Roman" w:cs="Times New Roman"/>
          <w:sz w:val="24"/>
          <w:szCs w:val="24"/>
          <w:highlight w:val="white"/>
        </w:rPr>
        <w:t>夏伯阳</w:t>
      </w:r>
      <w:r w:rsidRPr="0023714E"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  <w:t xml:space="preserve"> и </w:t>
      </w:r>
      <w:r w:rsidRPr="0023714E">
        <w:rPr>
          <w:rFonts w:ascii="Times New Roman" w:eastAsia="宋体" w:hAnsi="Times New Roman" w:cs="Times New Roman"/>
          <w:sz w:val="24"/>
          <w:szCs w:val="24"/>
          <w:highlight w:val="white"/>
        </w:rPr>
        <w:t>恰巴耶夫</w:t>
      </w:r>
      <w:r w:rsidRPr="0023714E"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  <w:t xml:space="preserve">. </w:t>
      </w:r>
    </w:p>
    <w:p w14:paraId="51F7EA2C" w14:textId="6980DB88" w:rsidR="00AF1670" w:rsidRPr="0023714E" w:rsidRDefault="006F573E" w:rsidP="00E9701C">
      <w:pPr>
        <w:spacing w:line="276" w:lineRule="auto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 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нашей 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работе был проведен </w:t>
      </w:r>
      <w:r w:rsidR="00E9701C"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их конкретный анализ </w:t>
      </w:r>
      <w:r w:rsidRPr="0023714E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и были выявлены </w:t>
      </w:r>
      <w:r w:rsidRPr="0023714E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причины изменения перевода названия романы. </w:t>
      </w:r>
    </w:p>
    <w:p w14:paraId="25EE9FF9" w14:textId="759D2468" w:rsidR="006F573E" w:rsidRPr="0023714E" w:rsidRDefault="006F573E" w:rsidP="00E9701C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714E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Результаты работы позволяют сделать вывод о том, что семантика каждой морфемы </w:t>
      </w:r>
      <w:r w:rsidR="00E9701C" w:rsidRPr="0023714E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в китайском языке </w:t>
      </w:r>
      <w:r w:rsidRPr="0023714E">
        <w:rPr>
          <w:rFonts w:ascii="Times New Roman" w:eastAsia="Times" w:hAnsi="Times New Roman" w:cs="Times New Roman"/>
          <w:sz w:val="24"/>
          <w:szCs w:val="24"/>
          <w:lang w:val="ru-RU"/>
        </w:rPr>
        <w:t>имеет важное значение при переводе заглавий литературных произведений, а также показывают, что диахрония вариантов перевода названия романа «Чапаев» на китайский язы</w:t>
      </w:r>
      <w:r w:rsidR="00E9701C" w:rsidRPr="0023714E">
        <w:rPr>
          <w:rFonts w:ascii="Times New Roman" w:eastAsia="Times" w:hAnsi="Times New Roman" w:cs="Times New Roman"/>
          <w:sz w:val="24"/>
          <w:szCs w:val="24"/>
          <w:lang w:val="ru-RU"/>
        </w:rPr>
        <w:t>к уходит далеко за рамки вопросов</w:t>
      </w:r>
      <w:r w:rsidRPr="0023714E">
        <w:rPr>
          <w:rFonts w:ascii="Times New Roman" w:eastAsia="Times" w:hAnsi="Times New Roman" w:cs="Times New Roman"/>
          <w:sz w:val="24"/>
          <w:szCs w:val="24"/>
          <w:lang w:val="ru-RU"/>
        </w:rPr>
        <w:t xml:space="preserve"> литературоведения, а имеет связи с культурным контекстом и изменяющимися общественными факторами.</w:t>
      </w:r>
      <w:r w:rsidRPr="0023714E">
        <w:rPr>
          <w:rFonts w:ascii="Times New Roman" w:eastAsia="Arial" w:hAnsi="Times New Roman" w:cs="Times New Roman"/>
          <w:sz w:val="24"/>
          <w:szCs w:val="24"/>
          <w:lang w:val="ru-RU" w:bidi="ar"/>
        </w:rPr>
        <w:t xml:space="preserve"> </w:t>
      </w:r>
    </w:p>
    <w:p w14:paraId="4FC9D9BA" w14:textId="77777777" w:rsidR="00AF1670" w:rsidRDefault="00AF1670" w:rsidP="00E9701C">
      <w:pPr>
        <w:spacing w:line="276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  <w:highlight w:val="white"/>
          <w:lang w:val="ru-RU"/>
        </w:rPr>
      </w:pPr>
    </w:p>
    <w:p w14:paraId="0B34C26A" w14:textId="4CF5FFEF" w:rsidR="002E304C" w:rsidRDefault="002E304C" w:rsidP="002E304C">
      <w:pPr>
        <w:spacing w:line="276" w:lineRule="auto"/>
        <w:ind w:firstLineChars="30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304C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</w:t>
      </w:r>
      <w:proofErr w:type="spellEnd"/>
      <w:r w:rsidRPr="002E3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04C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  <w:proofErr w:type="spellEnd"/>
    </w:p>
    <w:p w14:paraId="7990B7DC" w14:textId="3C08D9A7" w:rsidR="002E304C" w:rsidRPr="002E304C" w:rsidRDefault="00F34142" w:rsidP="002E304C">
      <w:pPr>
        <w:spacing w:line="276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.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陀思妥耶夫斯基著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曹</w:t>
      </w:r>
      <w:proofErr w:type="gramStart"/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缦</w:t>
      </w:r>
      <w:proofErr w:type="gramEnd"/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西译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.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 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穷人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·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白夜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·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赌徒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. 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南京：译林出版社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, 2001, 376. [Достоевский. Бедные люди. Белые ночи. Игрок. Пер. с рус. Цао </w:t>
      </w:r>
      <w:proofErr w:type="spellStart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Маньси</w:t>
      </w:r>
      <w:proofErr w:type="spellEnd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. Нанкин: Издательство </w:t>
      </w:r>
      <w:proofErr w:type="spellStart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Илинь</w:t>
      </w:r>
      <w:proofErr w:type="spellEnd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, 2001. 376 с.] (на кит. яз.)</w:t>
      </w:r>
    </w:p>
    <w:p w14:paraId="7B25412D" w14:textId="57F17ACE" w:rsidR="002E304C" w:rsidRPr="00F34142" w:rsidRDefault="00F34142" w:rsidP="00F34142">
      <w:pPr>
        <w:spacing w:line="276" w:lineRule="auto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</w:pPr>
      <w:r w:rsidRPr="00F3414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  <w:lang w:val="ru-RU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.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陀思妥耶夫斯基著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 </w:t>
      </w:r>
      <w:proofErr w:type="gramStart"/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磊</w:t>
      </w:r>
      <w:proofErr w:type="gramEnd"/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然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  <w:lang w:val="ru-RU"/>
        </w:rPr>
        <w:t>，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郭家申译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  <w:lang w:val="ru-RU"/>
        </w:rPr>
        <w:t>．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穷人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 [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长篇、中短篇小说集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]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  <w:lang w:val="ru-RU"/>
        </w:rPr>
        <w:t>．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石家庄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  <w:lang w:val="ru-RU"/>
        </w:rPr>
        <w:t>：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</w:rPr>
        <w:t>河北教育出版社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, 2010, 534</w:t>
      </w:r>
      <w:r w:rsidR="002E304C" w:rsidRPr="002E30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highlight w:val="white"/>
          <w:lang w:val="ru-RU"/>
        </w:rPr>
        <w:t>．</w:t>
      </w:r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[Достоевский. Бедные люди [Сборник романов и рассказов]. Пер. с рус. Лэй </w:t>
      </w:r>
      <w:proofErr w:type="spellStart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Жань</w:t>
      </w:r>
      <w:proofErr w:type="spellEnd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, Го </w:t>
      </w:r>
      <w:proofErr w:type="spellStart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Цзяшеня</w:t>
      </w:r>
      <w:proofErr w:type="spellEnd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. </w:t>
      </w:r>
      <w:proofErr w:type="spellStart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Шицзячжуан</w:t>
      </w:r>
      <w:proofErr w:type="spellEnd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: </w:t>
      </w:r>
      <w:proofErr w:type="spellStart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>Хэбэйская</w:t>
      </w:r>
      <w:proofErr w:type="spellEnd"/>
      <w:r w:rsidR="002E304C" w:rsidRPr="002E304C"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  <w:lang w:val="ru-RU"/>
        </w:rPr>
        <w:t xml:space="preserve"> образовательная пресса, 2010. 534 с.] (на кит. яз.)</w:t>
      </w:r>
    </w:p>
    <w:sectPr w:rsidR="002E304C" w:rsidRPr="00F3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11AB"/>
    <w:multiLevelType w:val="hybridMultilevel"/>
    <w:tmpl w:val="247E76E8"/>
    <w:lvl w:ilvl="0" w:tplc="0A329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A9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02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AD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4A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2B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7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CB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801146"/>
    <w:multiLevelType w:val="hybridMultilevel"/>
    <w:tmpl w:val="B644DA82"/>
    <w:lvl w:ilvl="0" w:tplc="6906A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E2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E1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4F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46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0D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6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87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05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590791"/>
    <w:multiLevelType w:val="hybridMultilevel"/>
    <w:tmpl w:val="FCFA9BA6"/>
    <w:lvl w:ilvl="0" w:tplc="B4B29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E6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A8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08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45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63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E3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2B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6666606">
    <w:abstractNumId w:val="2"/>
  </w:num>
  <w:num w:numId="2" w16cid:durableId="1616398851">
    <w:abstractNumId w:val="0"/>
  </w:num>
  <w:num w:numId="3" w16cid:durableId="27363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CF"/>
    <w:rsid w:val="001E71CC"/>
    <w:rsid w:val="0023714E"/>
    <w:rsid w:val="002E304C"/>
    <w:rsid w:val="002F5482"/>
    <w:rsid w:val="003F4FC3"/>
    <w:rsid w:val="006F573E"/>
    <w:rsid w:val="007552C7"/>
    <w:rsid w:val="007A0D48"/>
    <w:rsid w:val="00905801"/>
    <w:rsid w:val="00994551"/>
    <w:rsid w:val="009A49C6"/>
    <w:rsid w:val="00AF1670"/>
    <w:rsid w:val="00AF7BEE"/>
    <w:rsid w:val="00B442CF"/>
    <w:rsid w:val="00BD2E28"/>
    <w:rsid w:val="00E55A37"/>
    <w:rsid w:val="00E9701C"/>
    <w:rsid w:val="00F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F546"/>
  <w15:chartTrackingRefBased/>
  <w15:docId w15:val="{63C4B8FA-EF15-48E8-8074-5909079C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Efimenko</dc:creator>
  <cp:keywords/>
  <dc:description/>
  <cp:lastModifiedBy>Nikolai Efimenko</cp:lastModifiedBy>
  <cp:revision>8</cp:revision>
  <dcterms:created xsi:type="dcterms:W3CDTF">2024-02-17T20:28:00Z</dcterms:created>
  <dcterms:modified xsi:type="dcterms:W3CDTF">2024-02-23T14:27:00Z</dcterms:modified>
</cp:coreProperties>
</file>