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FBDD458" w:rsidR="005E4A66" w:rsidRDefault="007911F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Речевой портрет театрального журналиста. На примере «Колонки главного» В. В. Якова в журнале «Театрал»</w:t>
      </w:r>
    </w:p>
    <w:p w14:paraId="00000002" w14:textId="77777777" w:rsidR="005E4A66" w:rsidRDefault="00791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Устинкова Марина Андреевна</w:t>
      </w:r>
    </w:p>
    <w:p w14:paraId="00000003" w14:textId="77777777" w:rsidR="005E4A66" w:rsidRDefault="00791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Студент (бакалавр)</w:t>
      </w:r>
    </w:p>
    <w:p w14:paraId="00000004" w14:textId="77777777" w:rsidR="005E4A66" w:rsidRDefault="00791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Московский государственный университет имени М.В. Ломоносова, факультет журналистики, Москва, Россия</w:t>
      </w:r>
    </w:p>
    <w:p w14:paraId="00000005" w14:textId="77777777" w:rsidR="005E4A66" w:rsidRDefault="007911FB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E-mail: </w:t>
      </w:r>
      <w:hyperlink r:id="rId6">
        <w:r>
          <w:rPr>
            <w:rFonts w:ascii="Times New Roman" w:eastAsia="Times New Roman" w:hAnsi="Times New Roman" w:cs="Times New Roman"/>
            <w:b/>
            <w:i/>
            <w:color w:val="0563C1"/>
            <w:sz w:val="24"/>
            <w:szCs w:val="24"/>
            <w:u w:val="single"/>
          </w:rPr>
          <w:t>marustinkova@gmail.com</w:t>
        </w:r>
      </w:hyperlink>
    </w:p>
    <w:p w14:paraId="07EB91BB" w14:textId="523A5891" w:rsidR="00E52F88" w:rsidRPr="00E52F88" w:rsidRDefault="00E52F88" w:rsidP="00E52F88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F88">
        <w:rPr>
          <w:rFonts w:ascii="Times New Roman" w:eastAsia="Times New Roman" w:hAnsi="Times New Roman" w:cs="Times New Roman"/>
          <w:sz w:val="24"/>
          <w:szCs w:val="24"/>
        </w:rPr>
        <w:t>Термин «театральная журналистика» был введен в 2007 году А.Г. Баканурским, определи</w:t>
      </w:r>
      <w:r>
        <w:rPr>
          <w:rFonts w:ascii="Times New Roman" w:eastAsia="Times New Roman" w:hAnsi="Times New Roman" w:cs="Times New Roman"/>
          <w:sz w:val="24"/>
          <w:szCs w:val="24"/>
        </w:rPr>
        <w:t>вшим</w:t>
      </w:r>
      <w:r w:rsidRPr="00E52F88">
        <w:rPr>
          <w:rFonts w:ascii="Times New Roman" w:eastAsia="Times New Roman" w:hAnsi="Times New Roman" w:cs="Times New Roman"/>
          <w:sz w:val="24"/>
          <w:szCs w:val="24"/>
        </w:rPr>
        <w:t xml:space="preserve"> его как «систему газетных и журнальных жанров, в которой публикации освещают текущие проблемы театральной жизни» [1]. Сегодня театральные медиатексты реагируют не только на события театральной жизни, но и на изменения в жизни общественно-политической, что связывает театральную журналистику с другими отраслями СМИ [2]. </w:t>
      </w:r>
    </w:p>
    <w:p w14:paraId="7D2114F0" w14:textId="51E2D044" w:rsidR="00E52F88" w:rsidRDefault="00E52F88" w:rsidP="00E52F88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F88">
        <w:rPr>
          <w:rFonts w:ascii="Times New Roman" w:eastAsia="Times New Roman" w:hAnsi="Times New Roman" w:cs="Times New Roman"/>
          <w:sz w:val="24"/>
          <w:szCs w:val="24"/>
        </w:rPr>
        <w:t>Исследователи отмечают рост популярности колумнистики в прессе [3] и театральная журналистика не исключение. Ярцева С.С. дает три определения термина «колонка», одно из которых звучит как «особый жанр, актуализирующий личное переживание автора по конкретному поводу в виде демонстрации точки зрения субъекта высказывания» [8]. Говоря о колонке главного редактора журнала «Театрал» Валерия Васильевича Якова, мы будем оперировать этим определением. Колонке свойственна персонализация. Яков использует лексические и синтаксические приемы, чтобы эффективно воздействовать на аудиторию. Обозначим наиболее яркие особенности его текстов на уровне лексики</w:t>
      </w:r>
      <w:r>
        <w:rPr>
          <w:rFonts w:ascii="Times New Roman" w:eastAsia="Times New Roman" w:hAnsi="Times New Roman" w:cs="Times New Roman"/>
          <w:sz w:val="24"/>
          <w:szCs w:val="24"/>
        </w:rPr>
        <w:t>, составляющие речевой портрет журналиста</w:t>
      </w:r>
      <w:r w:rsidRPr="00E52F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8" w14:textId="77777777" w:rsidR="005E4A66" w:rsidRPr="006645DA" w:rsidRDefault="007911FB" w:rsidP="006645DA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5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Активное использование литературных тропов и их сочетаний</w:t>
      </w:r>
      <w:r w:rsidRPr="006645DA">
        <w:rPr>
          <w:rFonts w:ascii="Times New Roman" w:eastAsia="Times New Roman" w:hAnsi="Times New Roman" w:cs="Times New Roman"/>
          <w:color w:val="000000"/>
          <w:sz w:val="24"/>
          <w:szCs w:val="24"/>
        </w:rPr>
        <w:t>.  «</w:t>
      </w:r>
      <w:r w:rsidRPr="006645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 вместе с </w:t>
      </w:r>
      <w:r w:rsidRPr="006645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неустаревающим</w:t>
      </w:r>
      <w:r w:rsidRPr="006645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645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Чеховым </w:t>
      </w:r>
      <w:r w:rsidRPr="006645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все так же </w:t>
      </w:r>
      <w:r w:rsidRPr="006645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актуален</w:t>
      </w:r>
      <w:r w:rsidRPr="006645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645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Островский</w:t>
      </w:r>
      <w:r w:rsidRPr="006645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все так же </w:t>
      </w:r>
      <w:r w:rsidRPr="006645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злободневен Пушкин</w:t>
      </w:r>
      <w:r w:rsidRPr="006645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все так же </w:t>
      </w:r>
      <w:r w:rsidRPr="006645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безопасен Шекспир</w:t>
      </w:r>
      <w:r w:rsidRPr="006645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...» </w:t>
      </w:r>
      <w:r w:rsidRPr="006645DA">
        <w:rPr>
          <w:rFonts w:ascii="Times New Roman" w:eastAsia="Times New Roman" w:hAnsi="Times New Roman" w:cs="Times New Roman"/>
          <w:color w:val="000000"/>
          <w:sz w:val="24"/>
          <w:szCs w:val="24"/>
        </w:rPr>
        <w:t>[4] – журналист использует метонимию и эпитеты, чтобы лаконично выразить отношение современного читателя к классическим произведениям.</w:t>
      </w:r>
    </w:p>
    <w:p w14:paraId="00000009" w14:textId="77777777" w:rsidR="005E4A66" w:rsidRPr="006645DA" w:rsidRDefault="007911FB" w:rsidP="006645DA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Отдельно обозначим </w:t>
      </w:r>
      <w:r w:rsidRPr="006645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развернутые метафоры</w:t>
      </w:r>
      <w:r w:rsidRPr="006645DA">
        <w:rPr>
          <w:rFonts w:ascii="Times New Roman" w:eastAsia="Times New Roman" w:hAnsi="Times New Roman" w:cs="Times New Roman"/>
          <w:color w:val="000000"/>
          <w:sz w:val="24"/>
          <w:szCs w:val="24"/>
        </w:rPr>
        <w:t>, с их помощью автор описывает явления реального мира ирреальными образами, которые лучше запомнятся реципиенту. «</w:t>
      </w:r>
      <w:r w:rsidRPr="006645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[Зрительская любовь] отступила перед натиском серой и злобной моли, выползшей вдруг из каких-то мутных чуланов и налетевшей на известные имена, на успешные спектакли, на прославленные театры. Эта моль преимущественно анонимна, как и всякая мелкая нечисть, которая существует исключительно за счет чужих талантов, паразитируя на них</w:t>
      </w:r>
      <w:r w:rsidRPr="006645D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6645D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645DA">
        <w:rPr>
          <w:rFonts w:ascii="Times New Roman" w:eastAsia="Times New Roman" w:hAnsi="Times New Roman" w:cs="Times New Roman"/>
          <w:color w:val="000000"/>
          <w:sz w:val="24"/>
          <w:szCs w:val="24"/>
        </w:rPr>
        <w:t>[5]. В этом тексте Яков неоднократно упоминает моль, развивая метафору, поэтому можно говорить о текстообразующей функции развернутой метафоры.</w:t>
      </w:r>
    </w:p>
    <w:p w14:paraId="0000000A" w14:textId="77777777" w:rsidR="005E4A66" w:rsidRPr="006645DA" w:rsidRDefault="007911FB" w:rsidP="006645DA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5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Лексика из разных стилистических пластов</w:t>
      </w:r>
      <w:r w:rsidRPr="00664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(использование просторечий, жаргонизмов, неологизмов) употребляется для приобщения автора к «среднему» читателю за счет понятных ему лексем: «фейк», «напасть» (сущ.), «нынче», «подвох». Яков в «Театрале» стремится разрушить стереотип, согласно которому театр – элитарное искусство. «</w:t>
      </w:r>
      <w:r w:rsidRPr="006645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Коль</w:t>
      </w:r>
      <w:r w:rsidRPr="006645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сегодня </w:t>
      </w:r>
      <w:r w:rsidRPr="006645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пасквили</w:t>
      </w:r>
      <w:r w:rsidRPr="006645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645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стучащих фриков</w:t>
      </w:r>
      <w:r w:rsidRPr="006645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воспринимаются в </w:t>
      </w:r>
      <w:r w:rsidRPr="006645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инстанциях</w:t>
      </w:r>
      <w:r w:rsidRPr="006645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 бóльшим вниманием, чем мнения уважаемых людей, то лучше не испытывать судьбу</w:t>
      </w:r>
      <w:r w:rsidRPr="006645D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6645D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6645DA">
        <w:rPr>
          <w:rFonts w:ascii="Times New Roman" w:eastAsia="Times New Roman" w:hAnsi="Times New Roman" w:cs="Times New Roman"/>
          <w:color w:val="000000"/>
          <w:sz w:val="24"/>
          <w:szCs w:val="24"/>
        </w:rPr>
        <w:t>[4]</w:t>
      </w:r>
      <w:r w:rsidRPr="006645D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64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45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645DA">
        <w:rPr>
          <w:rFonts w:ascii="Times New Roman" w:eastAsia="Times New Roman" w:hAnsi="Times New Roman" w:cs="Times New Roman"/>
          <w:color w:val="000000"/>
          <w:sz w:val="24"/>
          <w:szCs w:val="24"/>
        </w:rPr>
        <w:t>очетание лексики из разных стилистических пластов создает впечатление абсурдности описываемого явления.</w:t>
      </w:r>
    </w:p>
    <w:p w14:paraId="0000000B" w14:textId="77777777" w:rsidR="005E4A66" w:rsidRPr="006645DA" w:rsidRDefault="007911FB" w:rsidP="006645DA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5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Трансформация фразеологизмов</w:t>
      </w:r>
      <w:r w:rsidRPr="00664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позволяет обращаться к культурному фону адресата. Разрушение устойчивых форм влечет за собой эффект обманутого ожидания и вызывает у реципиента удивление. «</w:t>
      </w:r>
      <w:r w:rsidRPr="006645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 главным триггером уходящего сезона стал </w:t>
      </w:r>
      <w:r w:rsidRPr="006645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его ничтожество донос</w:t>
      </w:r>
      <w:r w:rsidRPr="006645DA">
        <w:rPr>
          <w:rFonts w:ascii="Times New Roman" w:eastAsia="Times New Roman" w:hAnsi="Times New Roman" w:cs="Times New Roman"/>
          <w:color w:val="000000"/>
          <w:sz w:val="24"/>
          <w:szCs w:val="24"/>
        </w:rPr>
        <w:t>» [5] – благодаря антонимичной подмене существительного в устойчивом сочетании «его величество» создается олицетворение с иронич</w:t>
      </w:r>
      <w:r w:rsidRPr="006645DA">
        <w:rPr>
          <w:rFonts w:ascii="Times New Roman" w:eastAsia="Times New Roman" w:hAnsi="Times New Roman" w:cs="Times New Roman"/>
          <w:sz w:val="24"/>
          <w:szCs w:val="24"/>
        </w:rPr>
        <w:t>ески</w:t>
      </w:r>
      <w:r w:rsidRPr="006645DA">
        <w:rPr>
          <w:rFonts w:ascii="Times New Roman" w:eastAsia="Times New Roman" w:hAnsi="Times New Roman" w:cs="Times New Roman"/>
          <w:color w:val="000000"/>
          <w:sz w:val="24"/>
          <w:szCs w:val="24"/>
        </w:rPr>
        <w:t>м подтекстом.</w:t>
      </w:r>
    </w:p>
    <w:p w14:paraId="0000000C" w14:textId="77777777" w:rsidR="005E4A66" w:rsidRDefault="007911FB" w:rsidP="006645DA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Особенности текстов Якова на уровне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синтаксиса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D" w14:textId="77777777" w:rsidR="005E4A66" w:rsidRPr="006645DA" w:rsidRDefault="007911FB" w:rsidP="006645DA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5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Синтаксические фигуры, основанные на повторе</w:t>
      </w:r>
      <w:r w:rsidRPr="006645DA">
        <w:rPr>
          <w:rFonts w:ascii="Times New Roman" w:eastAsia="Times New Roman" w:hAnsi="Times New Roman" w:cs="Times New Roman"/>
          <w:color w:val="000000"/>
          <w:sz w:val="24"/>
          <w:szCs w:val="24"/>
        </w:rPr>
        <w:t>, позволяют расширить лексическое значение повторяющихся элементов, при употребл</w:t>
      </w:r>
      <w:r w:rsidRPr="006645DA">
        <w:rPr>
          <w:rFonts w:ascii="Times New Roman" w:eastAsia="Times New Roman" w:hAnsi="Times New Roman" w:cs="Times New Roman"/>
          <w:sz w:val="24"/>
          <w:szCs w:val="24"/>
        </w:rPr>
        <w:t>ении</w:t>
      </w:r>
      <w:r w:rsidRPr="00664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в разном контексте. «</w:t>
      </w:r>
      <w:r w:rsidRPr="006645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Вначале пандемия с ее </w:t>
      </w:r>
      <w:r w:rsidRPr="006645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ограничениями, изоляциями и потерями</w:t>
      </w:r>
      <w:r w:rsidRPr="006645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Затем трагические события на земле Украины с уже другими </w:t>
      </w:r>
      <w:r w:rsidRPr="006645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потерями, санкциями и ограничениями</w:t>
      </w:r>
      <w:r w:rsidRPr="006645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...</w:t>
      </w:r>
      <w:r w:rsidRPr="006645DA">
        <w:rPr>
          <w:rFonts w:ascii="Times New Roman" w:eastAsia="Times New Roman" w:hAnsi="Times New Roman" w:cs="Times New Roman"/>
          <w:color w:val="000000"/>
          <w:sz w:val="24"/>
          <w:szCs w:val="24"/>
        </w:rPr>
        <w:t>» [6]</w:t>
      </w:r>
      <w:r w:rsidRPr="006645D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64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Яков подчеркивает цикличность трагических событий и одновременно указывает на разный характер описываемых явлений.</w:t>
      </w:r>
    </w:p>
    <w:p w14:paraId="0000000E" w14:textId="77777777" w:rsidR="005E4A66" w:rsidRPr="006645DA" w:rsidRDefault="007911FB" w:rsidP="006645DA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5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Полисиндетон и асиндетон</w:t>
      </w:r>
      <w:r w:rsidRPr="00664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придают тексту звучание спонтанной естественной речи за счет особой ритмики, способствуют верному интонационному прочтению текста реципиентом. «</w:t>
      </w:r>
      <w:r w:rsidRPr="006645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Мы об этом миссионерском творчестве не устаем рассказывать из номера в номер, </w:t>
      </w:r>
      <w:r w:rsidRPr="006645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намекая, показывая, доказывая</w:t>
      </w:r>
      <w:r w:rsidRPr="006645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что театр – это дорога к миру</w:t>
      </w:r>
      <w:r w:rsidRPr="006645DA">
        <w:rPr>
          <w:rFonts w:ascii="Times New Roman" w:eastAsia="Times New Roman" w:hAnsi="Times New Roman" w:cs="Times New Roman"/>
          <w:color w:val="000000"/>
          <w:sz w:val="24"/>
          <w:szCs w:val="24"/>
        </w:rPr>
        <w:t>» [7]</w:t>
      </w:r>
      <w:r w:rsidRPr="006645D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64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45D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64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синдетон замедляет темп чтения, </w:t>
      </w:r>
      <w:r w:rsidRPr="006645DA">
        <w:rPr>
          <w:rFonts w:ascii="Times New Roman" w:eastAsia="Times New Roman" w:hAnsi="Times New Roman" w:cs="Times New Roman"/>
          <w:sz w:val="24"/>
          <w:szCs w:val="24"/>
        </w:rPr>
        <w:t xml:space="preserve">выделяет </w:t>
      </w:r>
      <w:r w:rsidRPr="006645DA">
        <w:rPr>
          <w:rFonts w:ascii="Times New Roman" w:eastAsia="Times New Roman" w:hAnsi="Times New Roman" w:cs="Times New Roman"/>
          <w:color w:val="000000"/>
          <w:sz w:val="24"/>
          <w:szCs w:val="24"/>
        </w:rPr>
        <w:t>градацию.</w:t>
      </w:r>
    </w:p>
    <w:p w14:paraId="0000000F" w14:textId="77777777" w:rsidR="005E4A66" w:rsidRPr="006645DA" w:rsidRDefault="007911FB" w:rsidP="006645DA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Часто </w:t>
      </w:r>
      <w:r w:rsidRPr="006645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предложения начинаются с союзов</w:t>
      </w:r>
      <w:r w:rsidRPr="006645DA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создает иллюзию спонтанности размышления и необработанности текста. «</w:t>
      </w:r>
      <w:r w:rsidRPr="006645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Сегодня наш прекрасный и далеко не слабый пол принимает на себя все вызовы времени. </w:t>
      </w:r>
      <w:r w:rsidRPr="006645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</w:t>
      </w:r>
      <w:r w:rsidRPr="006645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держит удар с улыбкой, не опуская глаз. </w:t>
      </w:r>
      <w:r w:rsidRPr="006645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Поэтому</w:t>
      </w:r>
      <w:r w:rsidRPr="006645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мы не будем скатываться к гендерным акцентам, а посвятим номер талантливым людям театра</w:t>
      </w:r>
      <w:r w:rsidRPr="006645DA">
        <w:rPr>
          <w:rFonts w:ascii="Times New Roman" w:eastAsia="Times New Roman" w:hAnsi="Times New Roman" w:cs="Times New Roman"/>
          <w:color w:val="000000"/>
          <w:sz w:val="24"/>
          <w:szCs w:val="24"/>
        </w:rPr>
        <w:t>» [7]. Каждый новый фрагмент высказывания связан с предыдущим при помощи союза, и адресат может отслеживать ход мысли адресанта.</w:t>
      </w:r>
    </w:p>
    <w:p w14:paraId="00000010" w14:textId="77777777" w:rsidR="005E4A66" w:rsidRPr="006645DA" w:rsidRDefault="007911FB" w:rsidP="006645DA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Активное использование </w:t>
      </w:r>
      <w:r w:rsidRPr="006645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парантезы, парцелляции, инверсии</w:t>
      </w:r>
      <w:r w:rsidRPr="00664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позволяет расчленить и преобразовать синтаксические конструкции с целью выделить наиболее важные моменты. «</w:t>
      </w:r>
      <w:r w:rsidRPr="006645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Это</w:t>
      </w:r>
      <w:r w:rsidRPr="006645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обращение к душам. </w:t>
      </w:r>
      <w:r w:rsidRPr="006645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Это</w:t>
      </w:r>
      <w:r w:rsidRPr="006645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шанс </w:t>
      </w:r>
      <w:r w:rsidRPr="006645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услышать</w:t>
      </w:r>
      <w:r w:rsidRPr="006645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друг друга. </w:t>
      </w:r>
      <w:r w:rsidRPr="006645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Услышать</w:t>
      </w:r>
      <w:r w:rsidRPr="006645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645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сквозь</w:t>
      </w:r>
      <w:r w:rsidRPr="006645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нарастающую нетерпимость, раскол и глухоту. </w:t>
      </w:r>
      <w:r w:rsidRPr="006645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Сквозь</w:t>
      </w:r>
      <w:r w:rsidRPr="006645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апатию и безразличие. </w:t>
      </w:r>
      <w:r w:rsidRPr="006645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Сквозь</w:t>
      </w:r>
      <w:r w:rsidRPr="006645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гром пушек, молчание муз и крик боли</w:t>
      </w:r>
      <w:r w:rsidRPr="006645DA">
        <w:rPr>
          <w:rFonts w:ascii="Times New Roman" w:eastAsia="Times New Roman" w:hAnsi="Times New Roman" w:cs="Times New Roman"/>
          <w:color w:val="000000"/>
          <w:sz w:val="24"/>
          <w:szCs w:val="24"/>
        </w:rPr>
        <w:t>» [7]</w:t>
      </w:r>
      <w:r w:rsidRPr="006645DA">
        <w:rPr>
          <w:rFonts w:ascii="Times New Roman" w:eastAsia="Times New Roman" w:hAnsi="Times New Roman" w:cs="Times New Roman"/>
          <w:sz w:val="24"/>
          <w:szCs w:val="24"/>
        </w:rPr>
        <w:t>. П</w:t>
      </w:r>
      <w:r w:rsidRPr="006645DA">
        <w:rPr>
          <w:rFonts w:ascii="Times New Roman" w:eastAsia="Times New Roman" w:hAnsi="Times New Roman" w:cs="Times New Roman"/>
          <w:color w:val="000000"/>
          <w:sz w:val="24"/>
          <w:szCs w:val="24"/>
        </w:rPr>
        <w:t>арцелляция в сочетании с анадиплосисом используется журналистом для постепенного развития мысли и акцентирования внимания на каждом ее фрагменте.</w:t>
      </w:r>
    </w:p>
    <w:p w14:paraId="6B8E72C5" w14:textId="505C431E" w:rsidR="006645DA" w:rsidRDefault="006645DA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5DA">
        <w:rPr>
          <w:rFonts w:ascii="Times New Roman" w:eastAsia="Times New Roman" w:hAnsi="Times New Roman" w:cs="Times New Roman"/>
          <w:sz w:val="24"/>
          <w:szCs w:val="24"/>
        </w:rPr>
        <w:t>Таким образом, В.В. Яков в колонке главного редактора «Театрала» использует лексические и синтаксические приемы для сближения с аудиторией и транслирования своей картины мира. Благодаря этому, реципиент за обезличенным изданием видит фигуру главного редактора, который использует разговорную лексику, говорит открыто, с иронией, спонтанно, а, следовательно, искренне. В ходе исследования сделан вывод, что колонка может служить для создания медиаобраза журналиста.</w:t>
      </w:r>
    </w:p>
    <w:p w14:paraId="00000012" w14:textId="77777777" w:rsidR="005E4A66" w:rsidRDefault="007911F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Источники и литература</w:t>
      </w:r>
    </w:p>
    <w:p w14:paraId="00000013" w14:textId="77777777" w:rsidR="005E4A66" w:rsidRDefault="007911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Баканурский А.Г. Современный театрально-драматический словарь / А.Г. Баканурский, А.П. Овчинникова. Одесса, 2007.</w:t>
      </w:r>
    </w:p>
    <w:p w14:paraId="00000014" w14:textId="77777777" w:rsidR="005E4A66" w:rsidRDefault="007911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Гольцева А.А. Жанровая специфика театральной журналистики // А.А. Гольцева Региональная журналистика в новой коммуникационной среде: уроки пандемии Covid-19: сборник материалов Студенческих научных чтений (Екатеринбург, 20 апреля 2021 года). Екатеринбург, 2021. C. 57-61.</w:t>
      </w:r>
    </w:p>
    <w:p w14:paraId="00000015" w14:textId="610512F0" w:rsidR="005E4A66" w:rsidRDefault="007911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Тертычный A.A. Зачем нужна «колонка редактора»? // Журналист. Апрель 2003. С. 78.; Баловнева И.Н. Колонка редактора: возвращение жанра // Наука и современность. 2010. №4-2.; Ярцева С.С. Колумнистика: история возникновения и перспективы развития. Воронеж, 2011.</w:t>
      </w:r>
    </w:p>
    <w:p w14:paraId="15C419D2" w14:textId="77777777" w:rsidR="006645DA" w:rsidRPr="009545AD" w:rsidRDefault="006645DA" w:rsidP="006645DA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5AD">
        <w:rPr>
          <w:rFonts w:ascii="Times New Roman" w:hAnsi="Times New Roman" w:cs="Times New Roman"/>
          <w:sz w:val="24"/>
          <w:szCs w:val="24"/>
        </w:rPr>
        <w:t>Яков В.В. Сезон русской рулетки // Театрал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545AD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45AD">
        <w:rPr>
          <w:rFonts w:ascii="Times New Roman" w:hAnsi="Times New Roman" w:cs="Times New Roman"/>
          <w:sz w:val="24"/>
          <w:szCs w:val="24"/>
        </w:rPr>
        <w:t xml:space="preserve"> №10.</w:t>
      </w:r>
    </w:p>
    <w:p w14:paraId="1F1F3BF9" w14:textId="77777777" w:rsidR="006645DA" w:rsidRPr="009545AD" w:rsidRDefault="006645DA" w:rsidP="006645DA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5AD">
        <w:rPr>
          <w:rFonts w:ascii="Times New Roman" w:hAnsi="Times New Roman" w:cs="Times New Roman"/>
          <w:sz w:val="24"/>
          <w:szCs w:val="24"/>
        </w:rPr>
        <w:t>Яков В. В. Сезон утраченной любви // Театрал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545AD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45AD">
        <w:rPr>
          <w:rFonts w:ascii="Times New Roman" w:hAnsi="Times New Roman" w:cs="Times New Roman"/>
          <w:sz w:val="24"/>
          <w:szCs w:val="24"/>
        </w:rPr>
        <w:t xml:space="preserve"> №6.</w:t>
      </w:r>
    </w:p>
    <w:p w14:paraId="0C4C7928" w14:textId="77777777" w:rsidR="006645DA" w:rsidRPr="009545AD" w:rsidRDefault="006645DA" w:rsidP="006645DA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5AD">
        <w:rPr>
          <w:rFonts w:ascii="Times New Roman" w:hAnsi="Times New Roman" w:cs="Times New Roman"/>
          <w:sz w:val="24"/>
          <w:szCs w:val="24"/>
        </w:rPr>
        <w:t>Яков 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45AD">
        <w:rPr>
          <w:rFonts w:ascii="Times New Roman" w:hAnsi="Times New Roman" w:cs="Times New Roman"/>
          <w:sz w:val="24"/>
          <w:szCs w:val="24"/>
        </w:rPr>
        <w:t>В. Мир вашему дому! // Театрал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545AD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45AD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6BA9E162" w14:textId="77777777" w:rsidR="00B02340" w:rsidRDefault="006645DA" w:rsidP="00B0234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5AD">
        <w:rPr>
          <w:rFonts w:ascii="Times New Roman" w:hAnsi="Times New Roman" w:cs="Times New Roman"/>
          <w:sz w:val="24"/>
          <w:szCs w:val="24"/>
        </w:rPr>
        <w:t>Яков В.В. Шанс услышать друг друга // Театрал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545AD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45AD">
        <w:rPr>
          <w:rFonts w:ascii="Times New Roman" w:hAnsi="Times New Roman" w:cs="Times New Roman"/>
          <w:sz w:val="24"/>
          <w:szCs w:val="24"/>
        </w:rPr>
        <w:t xml:space="preserve"> №3.</w:t>
      </w:r>
    </w:p>
    <w:p w14:paraId="2EAD6517" w14:textId="49F23361" w:rsidR="006645DA" w:rsidRPr="00B02340" w:rsidRDefault="007911FB" w:rsidP="00B0234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340">
        <w:rPr>
          <w:rFonts w:ascii="Times New Roman" w:eastAsia="Times New Roman" w:hAnsi="Times New Roman" w:cs="Times New Roman"/>
          <w:color w:val="000000"/>
          <w:sz w:val="24"/>
          <w:szCs w:val="24"/>
        </w:rPr>
        <w:t>Ярцева С.С. Колумнистика: история возникновения и перспективы развития. Автореф. дисс. канд. филол. наук. Воронеж, 2011.</w:t>
      </w:r>
    </w:p>
    <w:sectPr w:rsidR="006645DA" w:rsidRPr="00B0234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5FFE"/>
    <w:multiLevelType w:val="hybridMultilevel"/>
    <w:tmpl w:val="927AE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1A1D"/>
    <w:multiLevelType w:val="multilevel"/>
    <w:tmpl w:val="15DE22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F1707"/>
    <w:multiLevelType w:val="hybridMultilevel"/>
    <w:tmpl w:val="36D4E1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5C4233"/>
    <w:multiLevelType w:val="hybridMultilevel"/>
    <w:tmpl w:val="D71C07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A66"/>
    <w:rsid w:val="005E4A66"/>
    <w:rsid w:val="006645DA"/>
    <w:rsid w:val="007911FB"/>
    <w:rsid w:val="00B02340"/>
    <w:rsid w:val="00E5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C1E8"/>
  <w15:docId w15:val="{1EF66ADC-6A6D-4FA7-B271-E8895BB5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E93C6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B7B14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9054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9054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9054D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9A1E3C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9A1E3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9A1E3C"/>
    <w:rPr>
      <w:vertAlign w:val="superscript"/>
    </w:rPr>
  </w:style>
  <w:style w:type="character" w:styleId="ac">
    <w:name w:val="Unresolved Mention"/>
    <w:basedOn w:val="a0"/>
    <w:uiPriority w:val="99"/>
    <w:semiHidden/>
    <w:unhideWhenUsed/>
    <w:rsid w:val="0003449C"/>
    <w:rPr>
      <w:color w:val="605E5C"/>
      <w:shd w:val="clear" w:color="auto" w:fill="E1DFDD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ustinko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DLDz+ghX/Mq0crfVZqyPEwqpHA==">CgMxLjA4AHIhMWFtLWZ0Q1ZMS2FFSU1sbWVhcTVCTExOeTRCS3l1RFdh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Марина Устинкова</cp:lastModifiedBy>
  <cp:revision>5</cp:revision>
  <dcterms:created xsi:type="dcterms:W3CDTF">2024-02-05T12:17:00Z</dcterms:created>
  <dcterms:modified xsi:type="dcterms:W3CDTF">2024-02-16T08:52:00Z</dcterms:modified>
</cp:coreProperties>
</file>