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ind w:firstLine="85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Каваии как практика коммеморации в Японии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на материале искусства второй половины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XX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сновной текст A"/>
        <w:ind w:firstLine="85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 (Web)"/>
        <w:spacing w:before="0" w:after="150" w:line="420" w:lineRule="atLeast"/>
        <w:jc w:val="center"/>
        <w:rPr>
          <w:sz w:val="23"/>
          <w:szCs w:val="23"/>
          <w:u w:color="353535"/>
        </w:rPr>
      </w:pPr>
      <w:r>
        <w:rPr>
          <w:b w:val="1"/>
          <w:bCs w:val="1"/>
          <w:i w:val="1"/>
          <w:iCs w:val="1"/>
          <w:sz w:val="23"/>
          <w:szCs w:val="23"/>
          <w:u w:color="353535"/>
          <w:rtl w:val="0"/>
          <w:lang w:val="ru-RU"/>
        </w:rPr>
        <w:t>Панова Мария Ивановна</w:t>
      </w:r>
    </w:p>
    <w:p>
      <w:pPr>
        <w:pStyle w:val="Normal (Web)"/>
        <w:spacing w:before="0" w:after="150" w:line="420" w:lineRule="atLeast"/>
        <w:jc w:val="center"/>
        <w:rPr>
          <w:sz w:val="23"/>
          <w:szCs w:val="23"/>
          <w:u w:color="353535"/>
        </w:rPr>
      </w:pPr>
      <w:r>
        <w:rPr>
          <w:i w:val="1"/>
          <w:iCs w:val="1"/>
          <w:sz w:val="23"/>
          <w:szCs w:val="23"/>
          <w:u w:color="353535"/>
          <w:rtl w:val="0"/>
          <w:lang w:val="ru-RU"/>
        </w:rPr>
        <w:t xml:space="preserve">Студентка 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 xml:space="preserve">2 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курса</w:t>
      </w:r>
    </w:p>
    <w:p>
      <w:pPr>
        <w:pStyle w:val="Normal (Web)"/>
        <w:spacing w:before="0" w:after="150" w:line="420" w:lineRule="atLeast"/>
        <w:jc w:val="center"/>
        <w:rPr>
          <w:sz w:val="23"/>
          <w:szCs w:val="23"/>
          <w:u w:color="353535"/>
        </w:rPr>
      </w:pPr>
      <w:r>
        <w:rPr>
          <w:i w:val="1"/>
          <w:iCs w:val="1"/>
          <w:sz w:val="23"/>
          <w:szCs w:val="23"/>
          <w:u w:color="353535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.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В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.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Ломоносова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,</w:t>
      </w:r>
    </w:p>
    <w:p>
      <w:pPr>
        <w:pStyle w:val="Normal (Web)"/>
        <w:spacing w:before="0" w:after="150" w:line="420" w:lineRule="atLeast"/>
        <w:jc w:val="center"/>
        <w:rPr>
          <w:sz w:val="23"/>
          <w:szCs w:val="23"/>
          <w:u w:color="353535"/>
        </w:rPr>
      </w:pPr>
      <w:r>
        <w:rPr>
          <w:i w:val="1"/>
          <w:iCs w:val="1"/>
          <w:sz w:val="23"/>
          <w:szCs w:val="23"/>
          <w:u w:color="353535"/>
          <w:rtl w:val="0"/>
          <w:lang w:val="ru-RU"/>
        </w:rPr>
        <w:t>Факультет журналистики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 xml:space="preserve">, 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Москва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 xml:space="preserve">, </w:t>
      </w:r>
      <w:r>
        <w:rPr>
          <w:i w:val="1"/>
          <w:iCs w:val="1"/>
          <w:sz w:val="23"/>
          <w:szCs w:val="23"/>
          <w:u w:color="353535"/>
          <w:rtl w:val="0"/>
          <w:lang w:val="ru-RU"/>
        </w:rPr>
        <w:t>Россия</w:t>
      </w:r>
    </w:p>
    <w:p>
      <w:pPr>
        <w:pStyle w:val="Normal (Web)"/>
        <w:spacing w:before="0" w:after="150" w:line="420" w:lineRule="atLeast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E</w:t>
      </w:r>
      <w:r>
        <w:rPr>
          <w:i w:val="1"/>
          <w:iCs w:val="1"/>
          <w:rtl w:val="0"/>
          <w:lang w:val="ru-RU"/>
        </w:rPr>
        <w:t>–</w:t>
      </w:r>
      <w:r>
        <w:rPr>
          <w:i w:val="1"/>
          <w:iCs w:val="1"/>
          <w:rtl w:val="0"/>
          <w:lang w:val="ru-RU"/>
        </w:rPr>
        <w:t xml:space="preserve">mail: </w:t>
      </w:r>
      <w:r>
        <w:rPr>
          <w:i w:val="1"/>
          <w:iCs w:val="1"/>
          <w:rtl w:val="0"/>
          <w:lang w:val="en-US"/>
        </w:rPr>
        <w:t>butdalova@gmail.com</w:t>
      </w:r>
    </w:p>
    <w:p>
      <w:pPr>
        <w:pStyle w:val="Body Text"/>
        <w:spacing w:line="36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разговора об исторической памяти сегодня все актуальнее становится исследование практик коммеморации и культуры памяти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выступает пространством рефлексии исторических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сейчас наиболее знаком и привычен европейский опыт проработки 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азиатский подход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странах Восточной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нас менее очевиден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более привлекателен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научном пространстве ощущается недостаток обсуждения современной азиатской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признаков и магистральных нарративов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Этим обуславливается актуальность данного 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призвано расширить понимание о текущем положении японской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Японии 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 стал эпохой потрясений — идентично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формирующим событиями для японской нации стали атомные бомбардировки Хиросимы и Нагасаки и дальнейшее поражение во Второй Мировой войне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Политическом ответом на капитуляцию стало формирование мифов о настоящих виновниках военной неудачи и создание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факту фиктивной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«гегемонической национальной памяти»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hegemonic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national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memory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[He 2007: 47].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отмечается тенденция самовиктимизации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и осознание себя как жертвы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«Воспоминания о войне должны были быть тщательно отобраны и продезинфицированы для выделения факта страданий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не агрессии»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it-IT"/>
        </w:rPr>
        <w:t>Shimazu 2003: 106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]. </w:t>
      </w: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мнению культуролога Инухико Ёмота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ложное историческое пространство породило ностальгические настроения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фоне которых возник феномен каваии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Ёмота рассматривает феномен в качестве теории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 мере того как шел процесс погребения памяти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ностальгия расцветала пышным цветом»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Ёмота </w:t>
      </w:r>
      <w:r>
        <w:rPr>
          <w:rFonts w:ascii="Times New Roman" w:hAnsi="Times New Roman"/>
          <w:sz w:val="24"/>
          <w:szCs w:val="24"/>
          <w:rtl w:val="0"/>
          <w:lang w:val="pt-PT"/>
        </w:rPr>
        <w:t>2018: 123]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Каваии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ru-RU"/>
        </w:rPr>
        <w:t>かわいい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японское прилагательное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используемое для обозначения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объекта как маленького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милого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it-IT"/>
        </w:rPr>
        <w:t>Nittono 2016: 81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позитивного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несущего угрозы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дружелюбное и социальнориентированное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it-IT"/>
        </w:rPr>
        <w:t>Nittono 2016: 89</w:t>
      </w:r>
      <w:r>
        <w:rPr>
          <w:rFonts w:ascii="Times New Roman" w:hAnsi="Times New Roman"/>
          <w:sz w:val="24"/>
          <w:szCs w:val="24"/>
          <w:rtl w:val="0"/>
          <w:lang w:val="ru-RU"/>
        </w:rPr>
        <w:t>].</w:t>
      </w: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теории Ёмота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феномен каваии соединяет в себе триаду из ностальгии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сувениров и миниатюр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Ностальгия — это апогей идеализации 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олицетворяющего «святость 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происхождения»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Ностальгию Ёмота приписывает каждому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«Человек — это всего лишь ностальгическая конструкция»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Ёмота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2018: 124].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Второй компонент феномена каваии — сувениры — выполняет функцию выстраивания «идентичности» и актуализации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памятью о которой служит сувенир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народный костюм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Миниатюры — это преувеличенные детали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намеренный дисбаланс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всякого рода неточности и неправильности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 Орён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которого ссылается Ёмота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выстроил теорию компактности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гласящую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«в основании японской культуры заложен принцип сокращения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сжатия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уменьшения»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Ёмота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2018: 121].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Ёмота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миниатюры подчинены одному общему свойству — историческому эскапизму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Ёмота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2018: 109].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Ностальгия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другие компоненты каваии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«полная счастливых 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оставить в сердце память о 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впервые достигнутом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при этом в жертву приносится историческое сознание»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Классическим примером каваии в поп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культуре является персонаж </w:t>
      </w:r>
      <w:r>
        <w:rPr>
          <w:rFonts w:ascii="Times New Roman" w:hAnsi="Times New Roman"/>
          <w:sz w:val="24"/>
          <w:szCs w:val="24"/>
          <w:rtl w:val="0"/>
          <w:lang w:val="en-US"/>
        </w:rPr>
        <w:t>Hello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Kitty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 японской компании </w:t>
      </w:r>
      <w:r>
        <w:rPr>
          <w:rFonts w:ascii="Times New Roman" w:hAnsi="Times New Roman"/>
          <w:sz w:val="24"/>
          <w:szCs w:val="24"/>
          <w:rtl w:val="0"/>
          <w:lang w:val="en-US"/>
        </w:rPr>
        <w:t>Sanrio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белая кошка породы бобтейл с красным бантом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стала героиней мультфильмов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«мемом» и сувениром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ее изображением выпускают игрушки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школьные принадлежности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разный мерч и даже мобильные телефоны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Серьезным высказыванием в теории каваии в искусстве стала выставка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года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Такаси Мураками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Little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Boy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Arts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Japan</w:t>
      </w:r>
      <w:r>
        <w:rPr>
          <w:sz w:val="24"/>
          <w:szCs w:val="24"/>
          <w:rtl w:val="1"/>
          <w:lang w:val="ar-SA" w:bidi="ar-SA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Exploding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Subculture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главным образом посвященная бомбардировке Хиросимы и Нагасаки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не может справиться с подобного масштаба травмой и поэтому помещает ее в «вечный генетический шрам»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раздувается до «мультяшной доброты в пантомиме человечества»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cartoon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benignity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pantomime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humanity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[Rauer 2005].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задумке Мураками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выставка </w:t>
      </w:r>
      <w:r>
        <w:rPr>
          <w:rFonts w:ascii="Times New Roman" w:hAnsi="Times New Roman"/>
          <w:sz w:val="24"/>
          <w:szCs w:val="24"/>
          <w:rtl w:val="0"/>
          <w:lang w:val="en-US"/>
        </w:rPr>
        <w:t>Little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Boy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должна была отразить японское слияние детскости и инфантилизации поздних капиталистических медиа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</w:t>
      </w:r>
      <w:r>
        <w:rPr>
          <w:rFonts w:ascii="Times New Roman" w:hAnsi="Times New Roman"/>
          <w:sz w:val="24"/>
          <w:szCs w:val="24"/>
          <w:rtl w:val="0"/>
          <w:lang w:val="en-US"/>
        </w:rPr>
        <w:t>Little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Boy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имитирует название кодового имени для бомбы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сброшенной в Хиросиме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Творчество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Ёситомо Нара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современного японского художника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первый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идеально вписывается в теорию каваии с его изображением маленьких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Ёситомо дает новый взгляд на каваии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используя при этом уже знакомые приемы каваии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«Его персонажи это персонификация извращенных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державших ножи и курящих сигареты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Одинокие дети Нары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образом находятся вне социального контекста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одновременно отражают несовершенства социо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символического 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Они нарушают процесс естественного развития детей для их вступления в нормальную жизнь»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/>
          <w:sz w:val="24"/>
          <w:szCs w:val="24"/>
          <w:rtl w:val="0"/>
          <w:lang w:val="en-US"/>
        </w:rPr>
        <w:t>Ivy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2010: 7].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художник никогда не акцентировал свое внимание на социо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политическом контексте своих картин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его дети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«играющие во взрослых»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невольно отражают зарождающееся в Японии тренд на смещение динамики ребенок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взрослый и одиночество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Инфантилизация атомных бомбардировок Хиросимы и Нагасаки стала национальным способом реагирования общественности на шокирующее событие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каваии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непосредственно связанного с инфатилизацией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объясняют политическим курсом послевоенной Японии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приняла на себя образ жертвы военных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Утверждение феномена каваии в искусстве сформировал современный художник Такаси Мураками своей выставкой в Нью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Йорке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 рамках феномена работает художник Ёситомо Нара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Примечательно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применяя одни и те же каноны каваии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художники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 реализуют свои авторские 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line="36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Body Tex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Ёмота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Теория каваии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японского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статья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Беляева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Новое литературное обозрение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2018.</w:t>
      </w:r>
    </w:p>
    <w:p>
      <w:pPr>
        <w:pStyle w:val="Body Tex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He Y. Remembering and forgetting the war: Elite mythmaking, mass reaction, and Sino-Japanese relations, 1950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2006 // History &amp; Memory.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2007.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19.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 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43-74. </w:t>
      </w:r>
    </w:p>
    <w:p>
      <w:pPr>
        <w:pStyle w:val="Body Tex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Ivy M. The Art of Cute Little Things: Nara Yoshitomo's Parapolitics // Mechademia.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2010.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5.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 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Fonts w:ascii="Times New Roman" w:hAnsi="Times New Roman"/>
          <w:sz w:val="24"/>
          <w:szCs w:val="24"/>
          <w:rtl w:val="0"/>
          <w:lang w:val="ru-RU"/>
        </w:rPr>
        <w:t>. 3-29.</w:t>
      </w:r>
    </w:p>
    <w:p>
      <w:pPr>
        <w:pStyle w:val="Body Tex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Nittono H. The two-layer model of </w:t>
      </w:r>
      <w:r>
        <w:rPr>
          <w:rFonts w:ascii="Helvetica Neue" w:hAnsi="Helvetica Neue" w:hint="default"/>
          <w:sz w:val="24"/>
          <w:szCs w:val="24"/>
          <w:rtl w:val="1"/>
          <w:lang w:val="ar-SA" w:bidi="ar-SA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kawaii</w:t>
      </w:r>
      <w:r>
        <w:rPr>
          <w:rFonts w:ascii="Helvetica Neue" w:hAnsi="Helvetica Neue" w:hint="default"/>
          <w:sz w:val="24"/>
          <w:szCs w:val="24"/>
          <w:rtl w:val="1"/>
          <w:lang w:val="ar-SA" w:bidi="ar-SA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A behavioural science framework for understanding kawaii and cuteness // East Asian Journal of Popular Culture.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2016.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2.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 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Fonts w:ascii="Times New Roman" w:hAnsi="Times New Roman"/>
          <w:sz w:val="24"/>
          <w:szCs w:val="24"/>
          <w:rtl w:val="0"/>
          <w:lang w:val="ru-RU"/>
        </w:rPr>
        <w:t>. 79-95.</w:t>
      </w:r>
    </w:p>
    <w:p>
      <w:pPr>
        <w:pStyle w:val="Body Tex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Rauer J. Persistence of a genetic scar: Japanese anime, Manga, and otaku culture fill an open national wound // AsianArt. com: The on-line journal for the study and exhibition of the arts in Asia.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2005.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13. </w:t>
      </w:r>
    </w:p>
    <w:p>
      <w:pPr>
        <w:pStyle w:val="Body Text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Shimazu N. Popular representations of the past: The case of postwar Japan // Journal of Contemporary History.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2003.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38.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 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Fonts w:ascii="Times New Roman" w:hAnsi="Times New Roman"/>
          <w:sz w:val="24"/>
          <w:szCs w:val="24"/>
          <w:rtl w:val="0"/>
          <w:lang w:val="ru-RU"/>
        </w:rPr>
        <w:t>. 101-116.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1167"/>
        </w:tabs>
        <w:ind w:left="45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67"/>
          <w:tab w:val="num" w:pos="1527"/>
        </w:tabs>
        <w:ind w:left="81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67"/>
          <w:tab w:val="num" w:pos="1887"/>
        </w:tabs>
        <w:ind w:left="117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67"/>
          <w:tab w:val="num" w:pos="2247"/>
        </w:tabs>
        <w:ind w:left="153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67"/>
          <w:tab w:val="num" w:pos="2607"/>
        </w:tabs>
        <w:ind w:left="189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67"/>
          <w:tab w:val="num" w:pos="2967"/>
        </w:tabs>
        <w:ind w:left="225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67"/>
          <w:tab w:val="num" w:pos="3327"/>
        </w:tabs>
        <w:ind w:left="261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67"/>
          <w:tab w:val="num" w:pos="3687"/>
        </w:tabs>
        <w:ind w:left="297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67"/>
          <w:tab w:val="num" w:pos="4047"/>
        </w:tabs>
        <w:ind w:left="3338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