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Особенности отечественной авторской анимации (на примере популярных стриминговых проектов 2020-2023)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Гурбанова С.Б.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 (бакалавр)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Факультет журналистики, Москва, Россия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sevda.gurbanova@list.ru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8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2022 году объём отечественного рынка анимации составил 18,1 млрд руб. (заместитель генерального директора холдинга «Газпром-медиа» Юлия Голубева) [1]. За 2022 год было произведено более 9 тысяч минут нового оригинального контента, выпущено 19 сериалов и 13 полнометражных анимационных фильмов. По темпам роста рынок отечественной анимации опережает глобальный: за 2020-2022 годы российский рос в среднем на 15% в год, мировой – на 13% [2]. По оценкам «Газпром-медиа», к 2030 году рынок анимации вырастет до 38,8 млрд руб.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Термин «независимая анимация» относится к короткометражным анимационным и художественным фильмам и сериалам, снятым за пределами основной анимационной индустрии страны [3]. С годами спрос на indie animation только растёт, так как новая аудитория проявляет интерес к независимым свежим проектам. По прогнозам, к 2026 году 45% полнометражных анимационных фильмов будут производиться независимыми студиями, что сигнализирует об изменении расстановки сил в отрасли [4].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5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этого исследования — выявление особенностей российской авторской анимации и тенденций её развития посредством изучения проектов, популярных на стриминговых площадках: «Дух моей общаги» (2020-наст.время), «Объяснялкины» (2023), «Подозрительная сова» (2016-2020). Выборка основана на возрастном цензе проектов (от 16+), жанровой специфике (комедия), размещении проектов на популярных российских стриминговых сервисах (Okko, Кинопоиск, PREMIER соответственно), высоких рейтингах и известности шоу.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5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проведении исследования мы пришли к следующим выводам. На первых этапах становления отечественная авторская анимация строила свои продукты на основе уже изве</w:t>
      </w:r>
      <w:r w:rsidDel="00000000" w:rsidR="00000000" w:rsidRPr="00000000">
        <w:rPr>
          <w:sz w:val="24"/>
          <w:szCs w:val="24"/>
          <w:rtl w:val="0"/>
        </w:rPr>
        <w:t xml:space="preserve">стных сюжетов, отсылок к популярной культуре, как это происходит в сериале «Подозрительная сова».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Уникальность «Подозрительной совы» заключается в том, что сериал буквально состоит из заимствований, цитат и аллюзий на </w:t>
      </w:r>
      <w:r w:rsidDel="00000000" w:rsidR="00000000" w:rsidRPr="00000000">
        <w:rPr>
          <w:sz w:val="24"/>
          <w:szCs w:val="24"/>
          <w:rtl w:val="0"/>
        </w:rPr>
        <w:t xml:space="preserve">известных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всем мире героев. Сами создатели пишут о главном герое следующее: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американский коп, готовый положить голову, клюв и крылья на борьбу за справедливость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». </w:t>
      </w:r>
      <w:r w:rsidDel="00000000" w:rsidR="00000000" w:rsidRPr="00000000">
        <w:rPr>
          <w:sz w:val="24"/>
          <w:szCs w:val="24"/>
          <w:rtl w:val="0"/>
        </w:rPr>
        <w:t xml:space="preserve">Таким образом,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шоу </w:t>
      </w:r>
      <w:r w:rsidDel="00000000" w:rsidR="00000000" w:rsidRPr="00000000">
        <w:rPr>
          <w:sz w:val="24"/>
          <w:szCs w:val="24"/>
          <w:rtl w:val="0"/>
        </w:rPr>
        <w:t xml:space="preserve">всецело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состоит из западной культуры</w:t>
      </w:r>
      <w:r w:rsidDel="00000000" w:rsidR="00000000" w:rsidRPr="00000000">
        <w:rPr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лишь в редких случаях упоминает известных исключительно российской аудитории персонажей, в остальном же – он демонстрирует нам переработанный продукт мировой поп-культуры и делает это исключительно в ироничной тональности.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5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С годами отечественная авторская анимация приобретает уникальность и начинает говорить на понятном исключительно российской аудитории языке.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«Дух моей общаги», вышедший на несколько лет позже </w:t>
      </w:r>
      <w:r w:rsidDel="00000000" w:rsidR="00000000" w:rsidRPr="00000000">
        <w:rPr>
          <w:sz w:val="24"/>
          <w:szCs w:val="24"/>
          <w:rtl w:val="0"/>
        </w:rPr>
        <w:t xml:space="preserve">«Совы»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– это уже локальная история для отечественного зрителя. Здесь юмор строится уже не на абсурде, а на жизненных для русскоязычной аудитории историях: атмосфера, архетипы, герои, </w:t>
      </w:r>
      <w:r w:rsidDel="00000000" w:rsidR="00000000" w:rsidRPr="00000000">
        <w:rPr>
          <w:sz w:val="24"/>
          <w:szCs w:val="24"/>
          <w:rtl w:val="0"/>
        </w:rPr>
        <w:t xml:space="preserve">телешоу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локации города. Из всей нашей выборки этот сериал самый психологический и серьезный с точки зрения затрагиваемых общественных тем: ментальное здоровье, студенческие годы, предательства. Создатель сериала также подчеркивает психологический аспект сериала: ««Дух», казалось бы, поднимает тему смерти, но на самом деле это проект о любви к жизни» [5].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5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Независимая анимация в России может быть неоднозначной: уникальной и подражающей Западу одновременно. Так, 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едавно вышедши</w:t>
      </w:r>
      <w:r w:rsidDel="00000000" w:rsidR="00000000" w:rsidRPr="00000000">
        <w:rPr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«Объяснялкины» столкнулись с критикой </w:t>
      </w:r>
      <w:r w:rsidDel="00000000" w:rsidR="00000000" w:rsidRPr="00000000">
        <w:rPr>
          <w:sz w:val="24"/>
          <w:szCs w:val="24"/>
          <w:rtl w:val="0"/>
        </w:rPr>
        <w:t xml:space="preserve">как раз из-за вторичности сюжета. Сериал, по мнению некторых зрителей, напоминал «Почемучек», «Рика и Морти», «Симпсонов» и другие западные ситкомы про семью [6]. Тем не менее, «Объяснялкины» 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это уникальная смесь абсурдного юмора и жизненных тем. Создатели вложили в сериал то, что будет откликаться многим – и узнаваемые образы, и актуальный юмор, и социальный аспект (например, семейные проблемы). В сюжете присутствует множество отсылок к понятным только российской и русскоязычной аудиториям темам, иронизирование над ТВ-форматами и над блогерами.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3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Подытоживая, мы можем сделать вывод, что отечественная авторская анимация приобретает свои уникальные черты и с годами все реже использует заимствования у западных коллег, делая упор на понятные именно русскоязычной аудитории локальные темы. Российский рынок анимации расширяется и популяризируется, выходя на международный сегмент. Новые условия, в которых оказались художники, открывают им новое поле для творчества и реализации своего потенциала, тем самым выводя российскую анимацию на новый уровень.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341" w:right="3656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5"/>
        </w:tabs>
        <w:spacing w:after="0" w:before="0" w:line="240" w:lineRule="auto"/>
        <w:ind w:left="152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Владыкина, М. Российское анимационное кино / М. Владыкина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//Вестник ВГИК. — 2011. — № C. 150-154.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Косинова М. И. Проблемы в сфере продвижения отечественной анимации, Москва: Федеральное государственное бюджетное образовательное учреждение высшего образования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5" w:right="1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«Государственный университет управления», Вестник университета, ГУУ, 2015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5" w:right="13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4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https://tass.ru/ekonomika/17819403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5"/>
        </w:tabs>
        <w:spacing w:after="0" w:before="0" w:line="240" w:lineRule="auto"/>
        <w:ind w:left="1525" w:right="12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4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https://www.gazprom-media.com/ru/media/issledovanie-gazprom-med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4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4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ia-holdinga-rynok-otechestvennoy-animacii-vyrastet-do-38-8-mlrd-ru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4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4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bley-k-2030-godu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5"/>
        </w:tabs>
        <w:spacing w:after="0" w:before="0" w:line="240" w:lineRule="auto"/>
        <w:ind w:left="1525" w:right="12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Елагин Д. Анимационная студия «Феникс»: Никогда не знаешь, чего ожидать от аудитории: // Сноб. 2023.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https://snob.ru/interview/animacionnaya-studiya-feniks-nikogda-ne-znaesh-chego-ozhidat-ot-auditorii/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(дата обращения 12.02.2024)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5"/>
        </w:tabs>
        <w:spacing w:after="0" w:before="0" w:line="240" w:lineRule="auto"/>
        <w:ind w:left="1525" w:right="12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Давыдов И. Непреодолимые трудности перевода. «Объяснялкины»: что не так с новым мультсериалом для взрослы: // Коммерсантъ. 2023. URL: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https://www.kommersant.ru/doc/6253478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(дата обращения 12.02.2024)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5"/>
        </w:tabs>
        <w:spacing w:after="0" w:before="0" w:line="240" w:lineRule="auto"/>
        <w:ind w:left="15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25" w:hanging="360"/>
      </w:pPr>
      <w:rPr/>
    </w:lvl>
    <w:lvl w:ilvl="1">
      <w:start w:val="0"/>
      <w:numFmt w:val="bullet"/>
      <w:lvlText w:val="•"/>
      <w:lvlJc w:val="left"/>
      <w:pPr>
        <w:ind w:left="2326" w:hanging="360"/>
      </w:pPr>
      <w:rPr/>
    </w:lvl>
    <w:lvl w:ilvl="2">
      <w:start w:val="0"/>
      <w:numFmt w:val="bullet"/>
      <w:lvlText w:val="•"/>
      <w:lvlJc w:val="left"/>
      <w:pPr>
        <w:ind w:left="3132" w:hanging="360"/>
      </w:pPr>
      <w:rPr/>
    </w:lvl>
    <w:lvl w:ilvl="3">
      <w:start w:val="0"/>
      <w:numFmt w:val="bullet"/>
      <w:lvlText w:val="•"/>
      <w:lvlJc w:val="left"/>
      <w:pPr>
        <w:ind w:left="3938" w:hanging="360"/>
      </w:pPr>
      <w:rPr/>
    </w:lvl>
    <w:lvl w:ilvl="4">
      <w:start w:val="0"/>
      <w:numFmt w:val="bullet"/>
      <w:lvlText w:val="•"/>
      <w:lvlJc w:val="left"/>
      <w:pPr>
        <w:ind w:left="4744" w:hanging="360"/>
      </w:pPr>
      <w:rPr/>
    </w:lvl>
    <w:lvl w:ilvl="5">
      <w:start w:val="0"/>
      <w:numFmt w:val="bullet"/>
      <w:lvlText w:val="•"/>
      <w:lvlJc w:val="left"/>
      <w:pPr>
        <w:ind w:left="5550" w:hanging="360"/>
      </w:pPr>
      <w:rPr/>
    </w:lvl>
    <w:lvl w:ilvl="6">
      <w:start w:val="0"/>
      <w:numFmt w:val="bullet"/>
      <w:lvlText w:val="•"/>
      <w:lvlJc w:val="left"/>
      <w:pPr>
        <w:ind w:left="6356" w:hanging="360"/>
      </w:pPr>
      <w:rPr/>
    </w:lvl>
    <w:lvl w:ilvl="7">
      <w:start w:val="0"/>
      <w:numFmt w:val="bullet"/>
      <w:lvlText w:val="•"/>
      <w:lvlJc w:val="left"/>
      <w:pPr>
        <w:ind w:left="7162" w:hanging="360"/>
      </w:pPr>
      <w:rPr/>
    </w:lvl>
    <w:lvl w:ilvl="8">
      <w:start w:val="0"/>
      <w:numFmt w:val="bullet"/>
      <w:lvlText w:val="•"/>
      <w:lvlJc w:val="left"/>
      <w:pPr>
        <w:ind w:left="796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  <w:pPr>
      <w:ind w:left="1525" w:hanging="360"/>
    </w:pPr>
    <w:rPr>
      <w:u w:color="000000" w:val="single"/>
    </w:rPr>
  </w:style>
  <w:style w:type="paragraph" w:styleId="TableParagraph" w:customStyle="1">
    <w:name w:val="Table Paragraph"/>
    <w:basedOn w:val="a"/>
    <w:uiPriority w:val="1"/>
    <w:qFormat w:val="1"/>
  </w:style>
  <w:style w:type="paragraph" w:styleId="a5">
    <w:name w:val="Normal (Web)"/>
    <w:basedOn w:val="a"/>
    <w:uiPriority w:val="99"/>
    <w:unhideWhenUsed w:val="1"/>
    <w:rsid w:val="00C16355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val="en-US"/>
    </w:rPr>
  </w:style>
  <w:style w:type="character" w:styleId="oypena" w:customStyle="1">
    <w:name w:val="oypena"/>
    <w:basedOn w:val="a0"/>
    <w:rsid w:val="00EE6894"/>
  </w:style>
  <w:style w:type="character" w:styleId="a6">
    <w:name w:val="Hyperlink"/>
    <w:basedOn w:val="a0"/>
    <w:uiPriority w:val="99"/>
    <w:unhideWhenUsed w:val="1"/>
    <w:rsid w:val="001B532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1B53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nob.ru/interview/animacionnaya-studiya-feniks-nikogda-ne-znaesh-chego-ozhidat-ot-auditorii/" TargetMode="External"/><Relationship Id="rId10" Type="http://schemas.openxmlformats.org/officeDocument/2006/relationships/hyperlink" Target="https://www.gazprom-media.com/ru/media/issledovanie-gazprom-media-holdinga-rynok-otechestvennoy-animacii-vyrastet-do-38-8-mlrd-rubley-k-2030-godu" TargetMode="External"/><Relationship Id="rId12" Type="http://schemas.openxmlformats.org/officeDocument/2006/relationships/hyperlink" Target="https://www.kommersant.ru/doc/6253478" TargetMode="External"/><Relationship Id="rId9" Type="http://schemas.openxmlformats.org/officeDocument/2006/relationships/hyperlink" Target="https://www.gazprom-media.com/ru/media/issledovanie-gazprom-media-holdinga-rynok-otechestvennoy-animacii-vyrastet-do-38-8-mlrd-rubley-k-2030-go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ass.ru/ekonomika/17819403" TargetMode="External"/><Relationship Id="rId8" Type="http://schemas.openxmlformats.org/officeDocument/2006/relationships/hyperlink" Target="https://www.gazprom-media.com/ru/media/issledovanie-gazprom-media-holdinga-rynok-otechestvennoy-animacii-vyrastet-do-38-8-mlrd-rubley-k-2030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+c+X79HiPzGFbSfUmXKkx7Taw==">CgMxLjA4AHIhMVJUYkFrbFBycm9QSjBMalk2RXJJS1JneEdRQURlUlFz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2024-02-13T21:36:00Z</dcterms:created>
</cp:coreProperties>
</file>