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806C9" w14:textId="77777777" w:rsidR="009839CA" w:rsidRDefault="0092188D" w:rsidP="0022587A">
      <w:pPr>
        <w:spacing w:after="0" w:line="240" w:lineRule="auto"/>
        <w:rPr>
          <w:b/>
        </w:rPr>
      </w:pPr>
      <w:r>
        <w:rPr>
          <w:b/>
        </w:rPr>
        <w:t xml:space="preserve">О </w:t>
      </w:r>
      <w:r>
        <w:rPr>
          <w:b/>
          <w:bCs/>
        </w:rPr>
        <w:t>способах</w:t>
      </w:r>
      <w:r>
        <w:rPr>
          <w:b/>
        </w:rPr>
        <w:t xml:space="preserve"> совершенствования налогового законодательства КНР </w:t>
      </w:r>
    </w:p>
    <w:p w14:paraId="7F2806CA" w14:textId="77777777" w:rsidR="009839CA" w:rsidRDefault="0092188D" w:rsidP="0022587A">
      <w:pPr>
        <w:spacing w:after="0" w:line="240" w:lineRule="auto"/>
        <w:rPr>
          <w:bCs/>
        </w:rPr>
      </w:pPr>
      <w:r>
        <w:rPr>
          <w:b/>
        </w:rPr>
        <w:t>в целях защиты прав налогоплательщиков</w:t>
      </w:r>
    </w:p>
    <w:p w14:paraId="7F2806CB" w14:textId="77777777" w:rsidR="009839CA" w:rsidRDefault="0092188D" w:rsidP="0022587A">
      <w:pPr>
        <w:spacing w:after="0" w:line="240" w:lineRule="auto"/>
        <w:rPr>
          <w:b/>
          <w:i/>
        </w:rPr>
      </w:pPr>
      <w:r>
        <w:rPr>
          <w:b/>
          <w:i/>
        </w:rPr>
        <w:t xml:space="preserve">Ма </w:t>
      </w:r>
      <w:proofErr w:type="spellStart"/>
      <w:r>
        <w:rPr>
          <w:b/>
          <w:i/>
        </w:rPr>
        <w:t>Тяньцзы</w:t>
      </w:r>
      <w:proofErr w:type="spellEnd"/>
    </w:p>
    <w:p w14:paraId="7F2806CC" w14:textId="77777777" w:rsidR="009839CA" w:rsidRDefault="0092188D" w:rsidP="0022587A">
      <w:pPr>
        <w:spacing w:after="0" w:line="240" w:lineRule="auto"/>
      </w:pPr>
      <w:r>
        <w:t>Студентка (магистр)</w:t>
      </w:r>
    </w:p>
    <w:p w14:paraId="7F2806CD" w14:textId="77777777" w:rsidR="009839CA" w:rsidRDefault="0092188D" w:rsidP="0022587A">
      <w:pPr>
        <w:spacing w:after="0" w:line="240" w:lineRule="auto"/>
        <w:rPr>
          <w:i/>
        </w:rPr>
      </w:pPr>
      <w:r>
        <w:rPr>
          <w:i/>
        </w:rPr>
        <w:t>Московский государственный университет имени М.В.Ломоносова</w:t>
      </w:r>
    </w:p>
    <w:p w14:paraId="7F2806CE" w14:textId="77777777" w:rsidR="009839CA" w:rsidRDefault="0092188D" w:rsidP="0022587A">
      <w:pPr>
        <w:spacing w:after="0" w:line="240" w:lineRule="auto"/>
        <w:rPr>
          <w:i/>
        </w:rPr>
      </w:pPr>
      <w:r>
        <w:rPr>
          <w:i/>
        </w:rPr>
        <w:t>Институт русского языка и культуры, Москва, Россия</w:t>
      </w:r>
    </w:p>
    <w:p w14:paraId="7F2806CF" w14:textId="69F0D2FB" w:rsidR="009839CA" w:rsidRDefault="0092188D" w:rsidP="0022587A">
      <w:pPr>
        <w:spacing w:after="0" w:line="240" w:lineRule="auto"/>
      </w:pPr>
      <w:r>
        <w:t xml:space="preserve">E-mail: </w:t>
      </w:r>
      <w:r>
        <w:rPr>
          <w:rFonts w:hint="eastAsia"/>
        </w:rPr>
        <w:t>1169965668@qq</w:t>
      </w:r>
      <w:r>
        <w:t>.com</w:t>
      </w:r>
    </w:p>
    <w:p w14:paraId="7F2806D0" w14:textId="77777777" w:rsidR="009839CA" w:rsidRDefault="009839CA" w:rsidP="0022587A">
      <w:pPr>
        <w:spacing w:after="0" w:line="240" w:lineRule="auto"/>
        <w:ind w:firstLine="397"/>
        <w:jc w:val="both"/>
      </w:pPr>
    </w:p>
    <w:p w14:paraId="7F2806D1" w14:textId="77777777" w:rsidR="009839CA" w:rsidRDefault="0092188D" w:rsidP="0022587A">
      <w:pPr>
        <w:spacing w:after="0" w:line="240" w:lineRule="auto"/>
        <w:ind w:firstLine="397"/>
        <w:jc w:val="both"/>
        <w:rPr>
          <w:rStyle w:val="20"/>
          <w:rFonts w:eastAsia="SimSun"/>
          <w:bCs w:val="0"/>
          <w:color w:val="000000"/>
          <w:sz w:val="24"/>
          <w:szCs w:val="24"/>
        </w:rPr>
      </w:pPr>
      <w:r>
        <w:t>Одним из важных социально-экономических достижений правового государства является система налогообложения и связанное с ней налоговое право. Налоговое право – гарант того, что процедура налогообложения осуществляется законным путем при полном соблюдении прав налогоплательщиков.</w:t>
      </w:r>
      <w:r>
        <w:rPr>
          <w:color w:val="000000"/>
        </w:rPr>
        <w:t xml:space="preserve"> [1]</w:t>
      </w:r>
      <w:r>
        <w:t xml:space="preserve"> Причем права налогоплательщиков должны соблюдаться не только на стадии исполнения законов, но и на стадии разработки и принятия законодательных актов. </w:t>
      </w:r>
      <w:r>
        <w:rPr>
          <w:rStyle w:val="20"/>
          <w:sz w:val="24"/>
          <w:szCs w:val="24"/>
        </w:rPr>
        <w:t>«Несправедливые законы» и неверно подготовленные законы могут быть чреваты значительными негативными последствиями для общества, от которых не спасет даже применение правильных методов и процедур для исполнения подобных законов.</w:t>
      </w:r>
      <w:r>
        <w:rPr>
          <w:color w:val="000000"/>
        </w:rPr>
        <w:t xml:space="preserve"> [2]</w:t>
      </w:r>
    </w:p>
    <w:p w14:paraId="7F2806D2" w14:textId="77777777" w:rsidR="009839CA" w:rsidRDefault="0092188D" w:rsidP="0022587A">
      <w:pPr>
        <w:spacing w:after="0" w:line="240" w:lineRule="auto"/>
        <w:ind w:firstLine="397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Принцип налогового легализма является предпосылкой и основой для реализации прав налогоплательщиков, поэтому для защиты прав налогоплательщиков требуется совершенствование юридических процедур налогообложения.</w:t>
      </w:r>
      <w:r>
        <w:rPr>
          <w:color w:val="000000"/>
        </w:rPr>
        <w:t xml:space="preserve"> [3]</w:t>
      </w:r>
      <w:r>
        <w:t xml:space="preserve"> </w:t>
      </w:r>
      <w:r>
        <w:rPr>
          <w:rStyle w:val="20"/>
          <w:sz w:val="24"/>
          <w:szCs w:val="24"/>
        </w:rPr>
        <w:t>Необходимо усовершенствовать процесс налогового законодательства, чтобы обеспечить полную защиту прав налогоплательщиков при начислении налогов, в судебных и внесудебных спорах. Также необходимо разработать систему государственных депозитов для поддержки налогоплательщиков и прозрачную систему налогового надзора.</w:t>
      </w:r>
    </w:p>
    <w:p w14:paraId="7F2806D3" w14:textId="77777777" w:rsidR="009839CA" w:rsidRDefault="0092188D" w:rsidP="0022587A">
      <w:pPr>
        <w:spacing w:after="0" w:line="240" w:lineRule="auto"/>
        <w:ind w:firstLine="397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 xml:space="preserve">В административном налогообложении необходимо повысить независимость и беспристрастность арбитражного суда, повысить открытость и участие процесса проверки, а также способствовать обсуждению, дознанию и другим разбирательствам. </w:t>
      </w:r>
      <w:r>
        <w:t>КНР необходимо также расширить сферу налоговых вычетов</w:t>
      </w:r>
      <w:r>
        <w:rPr>
          <w:rFonts w:hint="eastAsia"/>
        </w:rPr>
        <w:t xml:space="preserve"> </w:t>
      </w:r>
      <w:r>
        <w:t>и увеличить их размер.</w:t>
      </w:r>
      <w:r>
        <w:rPr>
          <w:color w:val="000000"/>
        </w:rPr>
        <w:t xml:space="preserve"> [4]</w:t>
      </w:r>
    </w:p>
    <w:p w14:paraId="7F2806D4" w14:textId="77777777" w:rsidR="009839CA" w:rsidRDefault="0092188D" w:rsidP="0022587A">
      <w:pPr>
        <w:spacing w:after="0" w:line="240" w:lineRule="auto"/>
        <w:ind w:firstLine="397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Важно помнить, что основой легитимности любых налоговых процедур является право каждого гражданина и всего общества выразить свое согласие в отношении налогообложения, поэтому в соответствии с законодательством, налоговые органы обязаны проводить общественные слушания в случае обсуждения насущных для граждан вопросов, например, при необходимости скорректировать налоговые ставки для физических лиц и других подобных ситуациях.</w:t>
      </w:r>
    </w:p>
    <w:p w14:paraId="7F2806D5" w14:textId="77777777" w:rsidR="009839CA" w:rsidRDefault="0092188D" w:rsidP="0022587A">
      <w:pPr>
        <w:spacing w:after="0" w:line="240" w:lineRule="auto"/>
        <w:ind w:firstLine="397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 xml:space="preserve">Соблюдая принцип открытости, налоговые органы обязаны разъяснять свои действия и предоставлять обществу открытую информацию о своей деятельности, а также своевременно и в полном объеме информировать всеми доступными способами налогоплательщиков о необходимых действиях, связанных с налогами. В случаях отсутствия уведомления, неполного или ошибочного уведомления, налоговый орган считается нарушившим свои обязательства. </w:t>
      </w:r>
    </w:p>
    <w:p w14:paraId="7F2806D6" w14:textId="77777777" w:rsidR="009839CA" w:rsidRDefault="0092188D" w:rsidP="0022587A">
      <w:pPr>
        <w:spacing w:after="0" w:line="240" w:lineRule="auto"/>
        <w:ind w:firstLine="397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Важным условием соблюдения прав налогоплательщиков является соблюдение налоговыми органами процессуальной справедливости, что подчеркивается следующим положением: «Несправедливое правосудие может привести к десятилетию социального регресса».</w:t>
      </w:r>
      <w:r>
        <w:rPr>
          <w:color w:val="000000"/>
        </w:rPr>
        <w:t xml:space="preserve"> [5, 6]</w:t>
      </w:r>
      <w:r>
        <w:rPr>
          <w:rStyle w:val="20"/>
          <w:sz w:val="24"/>
          <w:szCs w:val="24"/>
        </w:rPr>
        <w:t xml:space="preserve"> Во имя защиты прав налогоплательщиков следует исключить представителями законодательных и исполнительных органов власти саму возможность злоупотребления своей властью и полномочиями. </w:t>
      </w:r>
    </w:p>
    <w:p w14:paraId="7F2806D7" w14:textId="77777777" w:rsidR="009839CA" w:rsidRDefault="0092188D" w:rsidP="0022587A">
      <w:pPr>
        <w:spacing w:after="0" w:line="240" w:lineRule="auto"/>
        <w:ind w:firstLine="397"/>
        <w:jc w:val="both"/>
        <w:rPr>
          <w:color w:val="000000"/>
        </w:rPr>
      </w:pPr>
      <w:r>
        <w:rPr>
          <w:rStyle w:val="20"/>
          <w:sz w:val="24"/>
          <w:szCs w:val="24"/>
        </w:rPr>
        <w:lastRenderedPageBreak/>
        <w:t>В качестве примера работы правительства и налоговых органов КНР над государственным регулированием процедур можно привести создание системы установления налоговых льгот, а также запуск системы конституционных судебных разбирательств и широкое применение конституционных положений в судебной системе</w:t>
      </w:r>
      <w:r>
        <w:t>.</w:t>
      </w:r>
      <w:r>
        <w:rPr>
          <w:rStyle w:val="20"/>
          <w:sz w:val="24"/>
          <w:szCs w:val="24"/>
        </w:rPr>
        <w:t xml:space="preserve"> Были расширены льготные категории граждан, которым доступны данные льготы, а также отменена система пересмотра льгот до уплаты налогов. Укреплена целостность налоговых процедур путем проведения тщательного расследования деятельности лиц, ответственных за нарушения налоговых процедур.</w:t>
      </w:r>
      <w:r>
        <w:rPr>
          <w:color w:val="000000"/>
        </w:rPr>
        <w:t xml:space="preserve"> [7]</w:t>
      </w:r>
    </w:p>
    <w:p w14:paraId="7F2806D8" w14:textId="77777777" w:rsidR="009839CA" w:rsidRDefault="0092188D" w:rsidP="0022587A">
      <w:pPr>
        <w:spacing w:after="0" w:line="240" w:lineRule="auto"/>
        <w:ind w:firstLine="397"/>
        <w:jc w:val="both"/>
      </w:pPr>
      <w:r>
        <w:t>В июле 2000 года правительством КНР была принята вторая часть Налогового кодекса, которая включает четыре ключевых законопроекта: новый закон о налоге на добавленную стоимость, закон о налоге на товары, закон о подоходном налоге с физических лиц и закон о налоге на социальное обеспечение. Благодаря реформе налоговая ставка была значительно снижена, и были устранены некоторые необоснованные налоги, в частности прогрессивная налоговая ставка в размере 12%, 20% и 30%. Новая налоговая система учитывает и жизнен</w:t>
      </w:r>
      <w:r>
        <w:t>ные потребности людей с низким доходом, устанавливая для них свой стандартный процент налоговых вычетов.</w:t>
      </w:r>
      <w:r>
        <w:rPr>
          <w:color w:val="000000"/>
        </w:rPr>
        <w:t xml:space="preserve"> [8]</w:t>
      </w:r>
      <w:r>
        <w:t xml:space="preserve"> </w:t>
      </w:r>
    </w:p>
    <w:p w14:paraId="7F2806D9" w14:textId="77777777" w:rsidR="009839CA" w:rsidRDefault="0092188D" w:rsidP="0022587A">
      <w:pPr>
        <w:spacing w:after="0" w:line="240" w:lineRule="auto"/>
        <w:ind w:firstLine="397"/>
        <w:jc w:val="both"/>
      </w:pPr>
      <w:proofErr w:type="gramStart"/>
      <w:r>
        <w:t>В целях дальнейшего укрепления налоговой системы,</w:t>
      </w:r>
      <w:proofErr w:type="gramEnd"/>
      <w:r>
        <w:t xml:space="preserve"> правительство КНР с интересом изучает и опыт России, особенно проект об «увеличении контингента лиц, освобожденных от уплаты налога с доходов физических лиц». Введение в РФ в 2001 году единого налога на доходы граждан послужило базой для идей о дальнейшем реформировании и совершенствовании налоговой системы КНР. Заложенные в этом проекте идеи «упрощение, справедливость и эффективность» имеют важное значение и для Китая.</w:t>
      </w:r>
      <w:r>
        <w:rPr>
          <w:color w:val="000000"/>
        </w:rPr>
        <w:t xml:space="preserve"> [9]</w:t>
      </w:r>
    </w:p>
    <w:p w14:paraId="7F2806DA" w14:textId="77777777" w:rsidR="009839CA" w:rsidRDefault="009839CA" w:rsidP="0022587A">
      <w:pPr>
        <w:spacing w:after="0" w:line="240" w:lineRule="auto"/>
        <w:rPr>
          <w:rStyle w:val="20"/>
          <w:sz w:val="24"/>
          <w:szCs w:val="24"/>
        </w:rPr>
      </w:pPr>
    </w:p>
    <w:p w14:paraId="7F2806DB" w14:textId="77777777" w:rsidR="009839CA" w:rsidRDefault="0092188D" w:rsidP="0022587A">
      <w:pPr>
        <w:spacing w:after="0" w:line="240" w:lineRule="auto"/>
        <w:rPr>
          <w:rStyle w:val="20"/>
          <w:b/>
          <w:sz w:val="24"/>
          <w:szCs w:val="24"/>
        </w:rPr>
      </w:pPr>
      <w:r>
        <w:rPr>
          <w:rStyle w:val="20"/>
          <w:b/>
          <w:sz w:val="24"/>
          <w:szCs w:val="24"/>
        </w:rPr>
        <w:t>Литература</w:t>
      </w:r>
    </w:p>
    <w:p w14:paraId="7F2806DC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 xml:space="preserve">1. </w:t>
      </w:r>
      <w:r>
        <w:rPr>
          <w:rFonts w:hAnsi="SimSun"/>
        </w:rPr>
        <w:t>刘建文著：《税法专题研究》，北京大学出版社</w:t>
      </w:r>
      <w:r>
        <w:t>2002</w:t>
      </w:r>
      <w:r>
        <w:rPr>
          <w:rFonts w:hAnsi="SimSun"/>
        </w:rPr>
        <w:t>年版，前言部分</w:t>
      </w:r>
      <w:r>
        <w:t>.</w:t>
      </w:r>
    </w:p>
    <w:p w14:paraId="7F2806DD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>2.</w:t>
      </w:r>
      <w:r>
        <w:rPr>
          <w:rFonts w:hAnsi="SimSun"/>
        </w:rPr>
        <w:t>有关税收权利的内容，参见文章《略论税收程序正当性权利》，《税务与经济》</w:t>
      </w:r>
      <w:r>
        <w:t>2003</w:t>
      </w:r>
    </w:p>
    <w:p w14:paraId="7F2806DE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rPr>
          <w:rFonts w:hAnsi="SimSun"/>
        </w:rPr>
        <w:t>年第一期</w:t>
      </w:r>
      <w:r>
        <w:t>.</w:t>
      </w:r>
    </w:p>
    <w:p w14:paraId="7F2806DF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>3.</w:t>
      </w:r>
      <w:r>
        <w:rPr>
          <w:rFonts w:hAnsi="SimSun"/>
        </w:rPr>
        <w:t>《法学家》</w:t>
      </w:r>
      <w:r>
        <w:t>2019</w:t>
      </w:r>
      <w:r>
        <w:rPr>
          <w:rFonts w:hAnsi="SimSun"/>
        </w:rPr>
        <w:t>年第五期，税收法定主义视野下的个人所得认定</w:t>
      </w:r>
      <w:r>
        <w:t>.</w:t>
      </w:r>
    </w:p>
    <w:p w14:paraId="7F2806E0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 xml:space="preserve">4. </w:t>
      </w:r>
      <w:r>
        <w:rPr>
          <w:rFonts w:hAnsi="SimSun"/>
        </w:rPr>
        <w:t>陈柏峰著，《法理学》权利与义务关系部分</w:t>
      </w:r>
      <w:r>
        <w:t>.</w:t>
      </w:r>
    </w:p>
    <w:p w14:paraId="7F2806E1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 xml:space="preserve">5. </w:t>
      </w:r>
      <w:r>
        <w:rPr>
          <w:rFonts w:hAnsi="SimSun"/>
        </w:rPr>
        <w:t>蔡昌、曹晓敏编，《论权力》中央财经报，</w:t>
      </w:r>
      <w:r>
        <w:t>2021-05-25</w:t>
      </w:r>
    </w:p>
    <w:p w14:paraId="7F2806E2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 xml:space="preserve">6. </w:t>
      </w:r>
      <w:r>
        <w:rPr>
          <w:rFonts w:hAnsi="SimSun"/>
        </w:rPr>
        <w:t>参见绕方《论税收法定主义原理》</w:t>
      </w:r>
      <w:r>
        <w:t>1997</w:t>
      </w:r>
      <w:r>
        <w:rPr>
          <w:rFonts w:hAnsi="SimSun"/>
        </w:rPr>
        <w:t>年第</w:t>
      </w:r>
      <w:r>
        <w:t>1</w:t>
      </w:r>
      <w:r>
        <w:rPr>
          <w:rFonts w:hAnsi="SimSun"/>
        </w:rPr>
        <w:t>期</w:t>
      </w:r>
      <w:r>
        <w:t>.</w:t>
      </w:r>
    </w:p>
    <w:p w14:paraId="7F2806E3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 xml:space="preserve">7. </w:t>
      </w:r>
      <w:r>
        <w:rPr>
          <w:rFonts w:hAnsi="SimSun"/>
        </w:rPr>
        <w:t>黎江虹著，《中国纳税人权利研究》</w:t>
      </w:r>
      <w:r>
        <w:t>.</w:t>
      </w:r>
    </w:p>
    <w:p w14:paraId="7F2806E4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 xml:space="preserve">8. </w:t>
      </w:r>
      <w:r>
        <w:rPr>
          <w:rFonts w:hAnsi="SimSun"/>
        </w:rPr>
        <w:t>柏徐，对我国个人所得税的几点思考</w:t>
      </w:r>
      <w:r>
        <w:t>[J</w:t>
      </w:r>
      <w:proofErr w:type="gramStart"/>
      <w:r>
        <w:t>].</w:t>
      </w:r>
      <w:r>
        <w:rPr>
          <w:rFonts w:hAnsi="SimSun"/>
        </w:rPr>
        <w:t>经济师</w:t>
      </w:r>
      <w:proofErr w:type="gramEnd"/>
      <w:r>
        <w:rPr>
          <w:rFonts w:hAnsi="SimSun"/>
        </w:rPr>
        <w:t>，</w:t>
      </w:r>
      <w:r>
        <w:t>2004</w:t>
      </w:r>
      <w:r>
        <w:rPr>
          <w:rFonts w:hAnsi="SimSun"/>
        </w:rPr>
        <w:t>（</w:t>
      </w:r>
      <w:r>
        <w:t>9</w:t>
      </w:r>
      <w:r>
        <w:rPr>
          <w:rFonts w:hAnsi="SimSun"/>
        </w:rPr>
        <w:t>）：</w:t>
      </w:r>
      <w:r>
        <w:t>96.</w:t>
      </w:r>
    </w:p>
    <w:p w14:paraId="7F2806E5" w14:textId="77777777" w:rsidR="009839CA" w:rsidRDefault="0092188D" w:rsidP="0022587A">
      <w:pPr>
        <w:snapToGrid w:val="0"/>
        <w:spacing w:after="0" w:line="240" w:lineRule="auto"/>
        <w:ind w:firstLine="397"/>
        <w:jc w:val="left"/>
      </w:pPr>
      <w:r>
        <w:t xml:space="preserve">9. </w:t>
      </w:r>
      <w:proofErr w:type="gramStart"/>
      <w:r>
        <w:rPr>
          <w:rFonts w:hAnsi="SimSun"/>
        </w:rPr>
        <w:t>傅志华</w:t>
      </w:r>
      <w:r>
        <w:t>.</w:t>
      </w:r>
      <w:r>
        <w:rPr>
          <w:rFonts w:hAnsi="SimSun"/>
        </w:rPr>
        <w:t>俄罗斯个人所得税制度改革考察</w:t>
      </w:r>
      <w:proofErr w:type="gramEnd"/>
      <w:r>
        <w:t>[j].</w:t>
      </w:r>
      <w:r>
        <w:rPr>
          <w:rFonts w:hAnsi="SimSun"/>
        </w:rPr>
        <w:t>财政研究</w:t>
      </w:r>
      <w:r>
        <w:t>.</w:t>
      </w:r>
    </w:p>
    <w:p w14:paraId="7F2806E6" w14:textId="77777777" w:rsidR="009839CA" w:rsidRDefault="009839CA" w:rsidP="0022587A">
      <w:pPr>
        <w:spacing w:after="0" w:line="240" w:lineRule="auto"/>
        <w:jc w:val="both"/>
      </w:pPr>
    </w:p>
    <w:sectPr w:rsidR="009839CA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00"/>
    <w:family w:val="modern"/>
    <w:pitch w:val="default"/>
    <w:sig w:usb0="00000000" w:usb1="080E0000" w:usb2="00000010" w:usb3="00000000" w:csb0="00040000" w:csb1="00000000"/>
  </w:font>
  <w:font w:name="楷体_GB2312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9CA"/>
    <w:rsid w:val="0022587A"/>
    <w:rsid w:val="0092188D"/>
    <w:rsid w:val="0098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806C9"/>
  <w15:docId w15:val="{DE3BC1EF-A4AD-40C4-83BD-E78EBFC5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center"/>
    </w:pPr>
    <w:rPr>
      <w:rFonts w:ascii="Times New Roman" w:hAnsi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afterLines="100"/>
      <w:outlineLvl w:val="0"/>
    </w:pPr>
    <w:rPr>
      <w:rFonts w:ascii="Calibri" w:eastAsia="SimHei" w:hAnsi="Calibri"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240"/>
      <w:outlineLvl w:val="1"/>
    </w:pPr>
    <w:rPr>
      <w:rFonts w:eastAsia="SimHei"/>
      <w:bCs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outlineLvl w:val="2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楷体_GB2312" w:hAnsi="楷体_GB2312"/>
      <w:kern w:val="0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SimHei" w:hAnsi="Times New Roman" w:cs="Times New Roman"/>
      <w:bCs/>
      <w:kern w:val="2"/>
      <w:sz w:val="32"/>
      <w:szCs w:val="32"/>
    </w:rPr>
  </w:style>
  <w:style w:type="character" w:customStyle="1" w:styleId="30">
    <w:name w:val="Заголовок 3 Знак"/>
    <w:link w:val="3"/>
    <w:qFormat/>
    <w:rPr>
      <w:rFonts w:ascii="Times New Roman" w:eastAsia="SimSun" w:hAnsi="Times New Roman"/>
      <w:b/>
      <w:sz w:val="28"/>
    </w:rPr>
  </w:style>
  <w:style w:type="character" w:customStyle="1" w:styleId="10">
    <w:name w:val="Заголовок 1 Знак"/>
    <w:link w:val="1"/>
    <w:qFormat/>
    <w:rPr>
      <w:rFonts w:eastAsia="SimHei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4303</Characters>
  <Application>Microsoft Office Word</Application>
  <DocSecurity>0</DocSecurity>
  <Lines>35</Lines>
  <Paragraphs>10</Paragraphs>
  <ScaleCrop>false</ScaleCrop>
  <Company>Microsoft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多比多</dc:creator>
  <cp:lastModifiedBy>Алексей Смирнов</cp:lastModifiedBy>
  <cp:revision>5</cp:revision>
  <dcterms:created xsi:type="dcterms:W3CDTF">2024-02-29T11:12:00Z</dcterms:created>
  <dcterms:modified xsi:type="dcterms:W3CDTF">2024-05-03T15:02:00Z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78DC6900D52E78D51668006643E82CFC_33</vt:lpwstr>
  </property>
</Properties>
</file>