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jc w:val="center"/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</w:pPr>
      <w:bookmarkStart w:id="7" w:name="_GoBack"/>
      <w:bookmarkEnd w:id="7"/>
      <w:bookmarkStart w:id="0" w:name="_Hlk157640970"/>
      <w:r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  <w:t>Технология эмс и ее применение</w:t>
      </w:r>
    </w:p>
    <w:p>
      <w:pPr>
        <w:widowControl w:val="0"/>
        <w:spacing w:after="0" w:line="240" w:lineRule="auto"/>
        <w:jc w:val="center"/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  <w:t>Чжан Чао</w:t>
      </w:r>
    </w:p>
    <w:p>
      <w:pPr>
        <w:widowControl w:val="0"/>
        <w:spacing w:after="0" w:line="240" w:lineRule="auto"/>
        <w:ind w:left="154" w:leftChars="70"/>
        <w:jc w:val="center"/>
        <w:rPr>
          <w:rFonts w:ascii="Times New Roman" w:hAnsi="Times New Roman" w:eastAsia="Segoe UI" w:cs="Times New Roman"/>
          <w:i/>
          <w:kern w:val="2"/>
          <w:sz w:val="24"/>
          <w:shd w:val="clear" w:color="auto" w:fill="FFFFFF"/>
          <w:lang w:eastAsia="zh-CN"/>
        </w:rPr>
      </w:pPr>
      <w:r>
        <w:rPr>
          <w:rFonts w:ascii="Times New Roman" w:hAnsi="Times New Roman" w:eastAsia="Segoe UI" w:cs="Times New Roman"/>
          <w:i/>
          <w:kern w:val="2"/>
          <w:sz w:val="24"/>
          <w:shd w:val="clear" w:color="auto" w:fill="FFFFFF"/>
          <w:lang w:eastAsia="zh-CN"/>
        </w:rPr>
        <w:t>Студент (магистр)</w:t>
      </w:r>
    </w:p>
    <w:p>
      <w:pPr>
        <w:widowControl w:val="0"/>
        <w:spacing w:after="0" w:line="240" w:lineRule="auto"/>
        <w:ind w:left="154" w:leftChars="70"/>
        <w:jc w:val="center"/>
        <w:rPr>
          <w:rFonts w:ascii="Times New Roman" w:hAnsi="Times New Roman" w:eastAsia="Segoe UI" w:cs="Times New Roman"/>
          <w:i/>
          <w:kern w:val="2"/>
          <w:sz w:val="24"/>
          <w:shd w:val="clear" w:color="auto" w:fill="FFFFFF"/>
          <w:lang w:eastAsia="zh-CN"/>
        </w:rPr>
      </w:pPr>
      <w:r>
        <w:rPr>
          <w:rFonts w:ascii="Times New Roman" w:hAnsi="Times New Roman" w:eastAsia="等线" w:cs="Times New Roman"/>
          <w:i/>
          <w:iCs/>
          <w:color w:val="353535"/>
          <w:kern w:val="2"/>
          <w:sz w:val="24"/>
          <w:shd w:val="clear" w:color="auto" w:fill="FFFFFF"/>
          <w:lang w:eastAsia="zh-CN"/>
        </w:rPr>
        <w:t>Московский государственный университет имени М.В.Ломоносова,</w:t>
      </w:r>
      <w:r>
        <w:rPr>
          <w:rFonts w:ascii="Times New Roman" w:hAnsi="Times New Roman" w:eastAsia="等线" w:cs="Times New Roman"/>
          <w:i/>
          <w:iCs/>
          <w:color w:val="353535"/>
          <w:kern w:val="2"/>
          <w:sz w:val="24"/>
          <w:shd w:val="clear" w:color="auto" w:fill="FFFFFF"/>
          <w:lang w:val="en-US" w:eastAsia="zh-CN"/>
        </w:rPr>
        <w:t> </w:t>
      </w:r>
    </w:p>
    <w:p>
      <w:pPr>
        <w:widowControl w:val="0"/>
        <w:spacing w:after="0" w:line="240" w:lineRule="auto"/>
        <w:ind w:left="154" w:leftChars="70"/>
        <w:jc w:val="center"/>
        <w:rPr>
          <w:rFonts w:ascii="Times New Roman" w:hAnsi="Times New Roman" w:eastAsia="Segoe UI" w:cs="Times New Roman"/>
          <w:i/>
          <w:kern w:val="2"/>
          <w:sz w:val="24"/>
          <w:shd w:val="clear" w:color="auto" w:fill="FFFFFF"/>
          <w:lang w:eastAsia="zh-CN"/>
        </w:rPr>
      </w:pPr>
      <w:r>
        <w:rPr>
          <w:rFonts w:ascii="Times New Roman" w:hAnsi="Times New Roman" w:eastAsia="Segoe UI" w:cs="Times New Roman"/>
          <w:i/>
          <w:kern w:val="2"/>
          <w:sz w:val="24"/>
          <w:shd w:val="clear" w:color="auto" w:fill="FFFFFF"/>
          <w:lang w:eastAsia="zh-CN"/>
        </w:rPr>
        <w:t>Институт русского языка и культуры, Москва</w:t>
      </w:r>
      <w:r>
        <w:rPr>
          <w:rFonts w:hint="eastAsia" w:ascii="Times New Roman" w:hAnsi="Times New Roman" w:eastAsia="等线" w:cs="Times New Roman"/>
          <w:i/>
          <w:kern w:val="2"/>
          <w:sz w:val="24"/>
          <w:shd w:val="clear" w:color="auto" w:fill="FFFFFF"/>
          <w:lang w:eastAsia="zh-CN"/>
        </w:rPr>
        <w:t>,</w:t>
      </w:r>
      <w:r>
        <w:rPr>
          <w:rFonts w:ascii="Times New Roman" w:hAnsi="Times New Roman" w:eastAsia="Segoe UI" w:cs="Times New Roman"/>
          <w:i/>
          <w:kern w:val="2"/>
          <w:sz w:val="24"/>
          <w:shd w:val="clear" w:color="auto" w:fill="FFFFFF"/>
          <w:lang w:eastAsia="zh-CN"/>
        </w:rPr>
        <w:t xml:space="preserve"> Россия</w:t>
      </w:r>
    </w:p>
    <w:p>
      <w:pPr>
        <w:widowControl w:val="0"/>
        <w:spacing w:after="0" w:line="240" w:lineRule="auto"/>
        <w:ind w:left="154" w:leftChars="70"/>
        <w:jc w:val="center"/>
        <w:rPr>
          <w:rFonts w:ascii="Times New Roman" w:hAnsi="Times New Roman" w:eastAsia="等线" w:cs="Times New Roman"/>
          <w:i/>
          <w:iCs/>
          <w:color w:val="353535"/>
          <w:kern w:val="2"/>
          <w:sz w:val="24"/>
          <w:shd w:val="clear" w:color="auto" w:fill="FFFFFF"/>
          <w:lang w:eastAsia="zh-CN"/>
        </w:rPr>
      </w:pPr>
      <w:r>
        <w:rPr>
          <w:rFonts w:ascii="Times New Roman" w:hAnsi="Times New Roman" w:eastAsia="等线" w:cs="Times New Roman"/>
          <w:i/>
          <w:iCs/>
          <w:color w:val="353535"/>
          <w:kern w:val="2"/>
          <w:sz w:val="24"/>
          <w:shd w:val="clear" w:color="auto" w:fill="FFFFFF"/>
          <w:lang w:val="en-US" w:eastAsia="zh-CN"/>
        </w:rPr>
        <w:t>E</w:t>
      </w:r>
      <w:r>
        <w:rPr>
          <w:rFonts w:ascii="Times New Roman" w:hAnsi="Times New Roman" w:eastAsia="等线" w:cs="Times New Roman"/>
          <w:i/>
          <w:iCs/>
          <w:color w:val="353535"/>
          <w:kern w:val="2"/>
          <w:sz w:val="24"/>
          <w:shd w:val="clear" w:color="auto" w:fill="FFFFFF"/>
          <w:lang w:eastAsia="zh-CN"/>
        </w:rPr>
        <w:t>–</w:t>
      </w:r>
      <w:r>
        <w:rPr>
          <w:rFonts w:ascii="Times New Roman" w:hAnsi="Times New Roman" w:eastAsia="等线" w:cs="Times New Roman"/>
          <w:i/>
          <w:iCs/>
          <w:color w:val="353535"/>
          <w:kern w:val="2"/>
          <w:sz w:val="24"/>
          <w:shd w:val="clear" w:color="auto" w:fill="FFFFFF"/>
          <w:lang w:val="en-US" w:eastAsia="zh-CN"/>
        </w:rPr>
        <w:t>mail</w:t>
      </w:r>
      <w:r>
        <w:rPr>
          <w:rFonts w:ascii="Times New Roman" w:hAnsi="Times New Roman" w:eastAsia="等线" w:cs="Times New Roman"/>
          <w:i/>
          <w:iCs/>
          <w:color w:val="353535"/>
          <w:kern w:val="2"/>
          <w:sz w:val="24"/>
          <w:shd w:val="clear" w:color="auto" w:fill="FFFFFF"/>
          <w:lang w:eastAsia="zh-CN"/>
        </w:rPr>
        <w:t>:</w:t>
      </w:r>
      <w:r>
        <w:t xml:space="preserve"> </w:t>
      </w:r>
      <w:r>
        <w:fldChar w:fldCharType="begin"/>
      </w:r>
      <w:r>
        <w:instrText xml:space="preserve"> HYPERLINK "mailto:1395994961@qq.com" </w:instrText>
      </w:r>
      <w:r>
        <w:fldChar w:fldCharType="separate"/>
      </w:r>
      <w:r>
        <w:rPr>
          <w:rStyle w:val="7"/>
          <w:rFonts w:ascii="Times New Roman" w:hAnsi="Times New Roman" w:eastAsia="等线" w:cs="Times New Roman"/>
          <w:i/>
          <w:iCs/>
          <w:kern w:val="2"/>
          <w:sz w:val="24"/>
          <w:shd w:val="clear" w:color="auto" w:fill="FFFFFF"/>
          <w:lang w:eastAsia="zh-CN"/>
        </w:rPr>
        <w:t>1395994961@qq.com</w:t>
      </w:r>
      <w:r>
        <w:rPr>
          <w:rStyle w:val="7"/>
          <w:rFonts w:ascii="Times New Roman" w:hAnsi="Times New Roman" w:eastAsia="等线" w:cs="Times New Roman"/>
          <w:i/>
          <w:iCs/>
          <w:kern w:val="2"/>
          <w:sz w:val="24"/>
          <w:shd w:val="clear" w:color="auto" w:fill="FFFFFF"/>
          <w:lang w:eastAsia="zh-CN"/>
        </w:rPr>
        <w:fldChar w:fldCharType="end"/>
      </w:r>
    </w:p>
    <w:p>
      <w:pPr>
        <w:widowControl w:val="0"/>
        <w:spacing w:after="0" w:line="240" w:lineRule="auto"/>
        <w:ind w:left="154" w:leftChars="70"/>
        <w:jc w:val="center"/>
        <w:rPr>
          <w:rFonts w:ascii="Times New Roman" w:hAnsi="Times New Roman" w:eastAsia="等线" w:cs="Times New Roman"/>
          <w:i/>
          <w:color w:val="2C2D2E"/>
          <w:kern w:val="2"/>
          <w:sz w:val="24"/>
          <w:shd w:val="clear" w:color="auto" w:fill="FFFFFF"/>
          <w:lang w:eastAsia="zh-CN"/>
        </w:rPr>
      </w:pPr>
      <w:r>
        <w:rPr>
          <w:rFonts w:ascii="Times New Roman" w:hAnsi="Times New Roman" w:eastAsia="等线" w:cs="Times New Roman"/>
          <w:i/>
          <w:iCs/>
          <w:color w:val="353535"/>
          <w:kern w:val="2"/>
          <w:sz w:val="24"/>
          <w:shd w:val="clear" w:color="auto" w:fill="FFFFFF"/>
          <w:lang w:eastAsia="zh-CN"/>
        </w:rPr>
        <w:t xml:space="preserve"> 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наступлением информационного века вместе с развитием современных коммуникационных технологий область интегральных электронных схем и СВЧ-антенн также активно развивается. Объем электронных устройств становится меньше, а степень интеграции — выше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  <w:t xml:space="preserve"> [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  <w:t>]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то же время исходные компоненты электронного оборудования становятся более сложными, что приводит к резкому ухудшению условий эксплуатации электронного оборудования, а проблема электромагнитной совместимости (ЭМС) между различными системами связи становится более заметной. Исследования электромагнитной совместимости постепенно развиваются вместе с электронными технологиями для высокой частоты, высокой скорости, высокой точности, высокой надежности, высокой чувствительности, высокой плотности (миниатюризация, крупномасштабная интеграция), высокой мощности, коммуникаций с использованием слабых сигналов и так далее. Проблемы электромагнитной совместимости особенно заметны в работе электронных систем, устройств и оборудования в искусственных спутниках Земли, ракетах, компьютерах, коммуникационных сетях и подводных лодках, где применяется большое число современных электронных технологий. Изучение и обеспечение электромагнитной совместимости является важной задачей для инженеров и специалистов в области приборостроения, электротехники и электроники.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等线" w:cs="Times New Roman"/>
          <w:b/>
          <w:i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b/>
          <w:i/>
          <w:kern w:val="2"/>
          <w:sz w:val="24"/>
          <w:szCs w:val="24"/>
          <w:lang w:eastAsia="zh-CN"/>
        </w:rPr>
        <w:t>Электромагнитная совместимость (ЭМС) — это способность электронных систем, устройств и оборудования работать вместе без взаимных помех и нежелательных воздействий на друг друга.</w:t>
      </w:r>
      <w:r>
        <w:rPr>
          <w:rFonts w:hint="eastAsia" w:ascii="Times New Roman" w:hAnsi="Times New Roman" w:eastAsia="等线" w:cs="Times New Roman"/>
          <w:b/>
          <w:i/>
          <w:kern w:val="2"/>
          <w:sz w:val="24"/>
          <w:szCs w:val="24"/>
          <w:lang w:eastAsia="zh-CN"/>
        </w:rPr>
        <w:t>[</w:t>
      </w:r>
      <w:r>
        <w:rPr>
          <w:rFonts w:ascii="Times New Roman" w:hAnsi="Times New Roman" w:eastAsia="等线" w:cs="Times New Roman"/>
          <w:b/>
          <w:i/>
          <w:kern w:val="2"/>
          <w:sz w:val="24"/>
          <w:szCs w:val="24"/>
          <w:lang w:eastAsia="zh-CN"/>
        </w:rPr>
        <w:t>1</w:t>
      </w:r>
      <w:r>
        <w:rPr>
          <w:rFonts w:hint="eastAsia" w:ascii="Times New Roman" w:hAnsi="Times New Roman" w:eastAsia="等线" w:cs="Times New Roman"/>
          <w:b/>
          <w:i/>
          <w:kern w:val="2"/>
          <w:sz w:val="24"/>
          <w:szCs w:val="24"/>
          <w:lang w:eastAsia="zh-CN"/>
        </w:rPr>
        <w:t>]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Это понятие включает в себя: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1. Электромагнитное взаимодействие электронных систем, устройств и оборудования между собой.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2. Электромагнитное взаимодействие электронных систем устройств и оборудования с окружающей средой (в этом случае электромагнитную совместимость можно назвать экологическим электромагнетизмом).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lang w:eastAsia="zh-CN"/>
        </w:rPr>
        <w:t>[</w:t>
      </w: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5,6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lang w:eastAsia="zh-CN"/>
        </w:rPr>
        <w:t>]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Основная цель электромагнитной совместимости — минимизировать влияние электромагнитных помех на работу электронных систем и обеспечить их нормальное функционирование в условиях совместной работы.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Электромагнитные помехи могут быть внутренними — это взаимные помехи между компонентами электронных систем, устройств и оборудования; и внешними — это взаимодействие электронных систем, устройств и оборудования с окружающей средой. Источники электромагнитных помех бывают естественного и искусственного происхождения. Помехи могут распространятся по двум видам путей:  кондуктивному (по физическим цепям, проводам) или радиационному (атмосферные, космические, станционные, большинство индустриальных помех,  контактные помехи).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Современные методы и технологии в измерении электромагнитной совместимости включают в себя широкий спектр инструментов и приборов, которые позволяют обнаруживать и анализировать электромагнитные помехи и взаимодействия между различными электронными системами и устройствами.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等线" w:cs="Times New Roman"/>
          <w:i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В прошлом инженеры часто полагались на обширную практику, чтобы найти наиболее подходящий вариант при решении реальных проблем ЭМС оборудования, что</w:t>
      </w:r>
      <w:r>
        <w:t xml:space="preserve"> </w:t>
      </w: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значительно увеличивало их рабочую нагрузку и время работы.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В настоящее время, благодаря постоянному развитию программного обеспечения для компьютерного моделирования, проблемы ЭМС можно решать с помощью таких программ как CST, HFSS и т. д.,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lang w:eastAsia="zh-CN"/>
        </w:rPr>
        <w:t>[</w:t>
      </w: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3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lang w:eastAsia="zh-CN"/>
        </w:rPr>
        <w:t>]</w:t>
      </w: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 xml:space="preserve"> например: смоделировать электромагнитные поля, провести виртуальные эксперименты и определить электромагнитную совместимость системы или устройства. Но в настоящее время проблема заключается в том, что эти проекты хорошо работают для простых устройств, но им не хватает справочных данных и эталонов для моделирования электромагнитных излучений крупного и сложного оборудования.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lang w:eastAsia="zh-CN"/>
        </w:rPr>
        <w:t>[</w:t>
      </w: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4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lang w:eastAsia="zh-CN"/>
        </w:rPr>
        <w:t>]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В будущем, если электромагнитная совместимость моделирования радиационного поля будет дополнительно оптимизирована, то использование компьютеров для прогнозирования электромагнитной совместимости сложного оборудования станет возможным в инженерной практике. Новое компьютерное моделирование позволит сократить время и затраты на проведение физических экспериментов и оптимизировать процесс разработки и тестирования новых более сложных электронных систем и устройств.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lang w:eastAsia="zh-CN"/>
        </w:rPr>
        <w:t>[</w:t>
      </w:r>
      <w:r>
        <w:rPr>
          <w:rFonts w:ascii="Times New Roman" w:hAnsi="Times New Roman" w:eastAsia="等线" w:cs="Times New Roman"/>
          <w:kern w:val="2"/>
          <w:sz w:val="24"/>
          <w:szCs w:val="24"/>
          <w:lang w:eastAsia="zh-CN"/>
        </w:rPr>
        <w:t>2,8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lang w:eastAsia="zh-CN"/>
        </w:rPr>
        <w:t>]</w:t>
      </w:r>
    </w:p>
    <w:bookmarkEnd w:id="0"/>
    <w:p>
      <w:pPr>
        <w:widowControl w:val="0"/>
        <w:spacing w:after="0" w:line="240" w:lineRule="auto"/>
        <w:ind w:firstLine="480" w:firstLineChars="200"/>
        <w:jc w:val="center"/>
        <w:rPr>
          <w:rFonts w:ascii="Times New Roman" w:hAnsi="Times New Roman" w:eastAsia="Segoe UI" w:cs="Times New Roman"/>
          <w:b/>
          <w:kern w:val="2"/>
          <w:sz w:val="24"/>
          <w:szCs w:val="24"/>
          <w:shd w:val="clear" w:color="auto" w:fill="FFFFFF"/>
          <w:lang w:eastAsia="zh-CN"/>
        </w:rPr>
      </w:pPr>
    </w:p>
    <w:p>
      <w:pPr>
        <w:widowControl w:val="0"/>
        <w:spacing w:after="0" w:line="240" w:lineRule="auto"/>
        <w:ind w:firstLine="480" w:firstLineChars="200"/>
        <w:jc w:val="center"/>
        <w:rPr>
          <w:rFonts w:ascii="Times New Roman" w:hAnsi="Times New Roman" w:eastAsia="Segoe UI" w:cs="Times New Roman"/>
          <w:b/>
          <w:kern w:val="2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Segoe UI" w:cs="Times New Roman"/>
          <w:b/>
          <w:kern w:val="2"/>
          <w:sz w:val="24"/>
          <w:szCs w:val="24"/>
          <w:shd w:val="clear" w:color="auto" w:fill="FFFFFF"/>
          <w:lang w:eastAsia="zh-CN"/>
        </w:rPr>
        <w:t>Литература</w:t>
      </w:r>
    </w:p>
    <w:p>
      <w:pPr>
        <w:pStyle w:val="12"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</w:pPr>
      <w:bookmarkStart w:id="1" w:name="_Ref7928"/>
      <w:r>
        <w:rPr>
          <w:rFonts w:hint="eastAsia"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Clayton</w:t>
      </w:r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 xml:space="preserve">R.Paul. </w:t>
      </w:r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Introduction to Electromagnetic Compatibility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[M]</w:t>
      </w:r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 xml:space="preserve">, Posts &amp; Telecom Press, 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2006.</w:t>
      </w:r>
      <w:bookmarkEnd w:id="1"/>
    </w:p>
    <w:p>
      <w:pPr>
        <w:pStyle w:val="12"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</w:pPr>
      <w:bookmarkStart w:id="2" w:name="_Ref8539"/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Hailin Gu. Overview of Electromagnetic Interference and Electromagnetic Compatibility Technology, Technology Innovation Guide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 xml:space="preserve"> Issue 28,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 xml:space="preserve">008, </w:t>
      </w:r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 xml:space="preserve">Pages 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88</w:t>
      </w:r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—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91</w:t>
      </w:r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.</w:t>
      </w:r>
      <w:bookmarkEnd w:id="2"/>
    </w:p>
    <w:p>
      <w:pPr>
        <w:pStyle w:val="12"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</w:pPr>
      <w:bookmarkStart w:id="3" w:name="_Ref8846"/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Karami H , Azadifar M , Mostajabi A ,et al. Localization of Electromagnetic Interference Source Using a Time Reversal Cavity: Application of the Maximum Power Criterion[C], 2020 IEEE International Symposium on Electromagnetic Compatibility &amp; Signal/Power Integrity (EMCSI).IEEE, 2020.</w:t>
      </w:r>
      <w:bookmarkEnd w:id="3"/>
    </w:p>
    <w:p>
      <w:pPr>
        <w:pStyle w:val="12"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</w:pPr>
      <w:bookmarkStart w:id="4" w:name="_Ref8934"/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Li W., Wei G., Pan X. et al., Electromagnetic Compatibility Prediction Method Under the Multifrequency in-Band Interference Environment, IEEE Transactions on Electromagnetic Compatibility, vol. PP, no.2, 2017, Pages 1—9.</w:t>
      </w:r>
      <w:bookmarkEnd w:id="4"/>
    </w:p>
    <w:p>
      <w:pPr>
        <w:pStyle w:val="12"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</w:pPr>
      <w:bookmarkStart w:id="5" w:name="_Ref9202"/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Yong-Sheng W., Wen-Qing G., Wei L. et al. Research on Strong Electromagnetic Protection Technology of Radar Vehicle Cockpit[C], 2020 6th Global Electromagnetic Compatibility Conference (GEMCCON). 2020.</w:t>
      </w:r>
      <w:bookmarkEnd w:id="5"/>
    </w:p>
    <w:p>
      <w:pPr>
        <w:pStyle w:val="12"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</w:pPr>
      <w:bookmarkStart w:id="6" w:name="_Ref9261"/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Yudhistira et al., Electromagnetic interference measurement for axle counters light rapid transit railway in Indonesia, IJECE, vol.12, no.5, 2022, Pages 4632—4639.</w:t>
      </w:r>
      <w:bookmarkEnd w:id="6"/>
    </w:p>
    <w:p>
      <w:pPr>
        <w:pStyle w:val="12"/>
        <w:numPr>
          <w:ilvl w:val="0"/>
          <w:numId w:val="1"/>
        </w:numPr>
        <w:ind w:left="426" w:firstLine="0"/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</w:pPr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Zeddam A, Avril G and Tlich M, Electromagnetic environment and telecommunications: towards a cognitive electromagnetic compatibility, Comptes Rendus Physique, vol.10, no.1, 2009, Pages 4—12.</w:t>
      </w:r>
    </w:p>
    <w:p>
      <w:pPr>
        <w:pStyle w:val="12"/>
        <w:numPr>
          <w:ilvl w:val="0"/>
          <w:numId w:val="1"/>
        </w:numPr>
        <w:ind w:left="426" w:firstLine="0"/>
        <w:jc w:val="both"/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</w:pPr>
      <w:r>
        <w:rPr>
          <w:rFonts w:ascii="Times New Roman" w:hAnsi="Times New Roman" w:eastAsia="等线" w:cs="Times New Roman"/>
          <w:kern w:val="2"/>
          <w:sz w:val="24"/>
          <w:szCs w:val="24"/>
          <w:shd w:val="clear" w:color="auto" w:fill="FFFFFF"/>
          <w:lang w:val="en-US" w:eastAsia="zh-CN"/>
        </w:rPr>
        <w:t>Zheng J and. Wei G, New Development of Electromagnetic Compatibility in the Future: Cognitive Electromagnetic Environment Adaptation, 2021 13th Global Symposium on Millimeter-Waves &amp; Terahertz (GSMM), 2021, Pages 1—3.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E097B"/>
    <w:multiLevelType w:val="multilevel"/>
    <w:tmpl w:val="66EE097B"/>
    <w:lvl w:ilvl="0" w:tentative="0">
      <w:start w:val="1"/>
      <w:numFmt w:val="decimal"/>
      <w:lvlText w:val="%1."/>
      <w:lvlJc w:val="left"/>
      <w:pPr>
        <w:ind w:left="2062" w:hanging="360"/>
      </w:pPr>
    </w:lvl>
    <w:lvl w:ilvl="1" w:tentative="0">
      <w:start w:val="1"/>
      <w:numFmt w:val="lowerLetter"/>
      <w:lvlText w:val="%2."/>
      <w:lvlJc w:val="left"/>
      <w:pPr>
        <w:ind w:left="2782" w:hanging="360"/>
      </w:pPr>
    </w:lvl>
    <w:lvl w:ilvl="2" w:tentative="0">
      <w:start w:val="1"/>
      <w:numFmt w:val="lowerRoman"/>
      <w:lvlText w:val="%3."/>
      <w:lvlJc w:val="right"/>
      <w:pPr>
        <w:ind w:left="3502" w:hanging="180"/>
      </w:pPr>
    </w:lvl>
    <w:lvl w:ilvl="3" w:tentative="0">
      <w:start w:val="1"/>
      <w:numFmt w:val="decimal"/>
      <w:lvlText w:val="%4."/>
      <w:lvlJc w:val="left"/>
      <w:pPr>
        <w:ind w:left="4222" w:hanging="360"/>
      </w:pPr>
    </w:lvl>
    <w:lvl w:ilvl="4" w:tentative="0">
      <w:start w:val="1"/>
      <w:numFmt w:val="lowerLetter"/>
      <w:lvlText w:val="%5."/>
      <w:lvlJc w:val="left"/>
      <w:pPr>
        <w:ind w:left="4942" w:hanging="360"/>
      </w:pPr>
    </w:lvl>
    <w:lvl w:ilvl="5" w:tentative="0">
      <w:start w:val="1"/>
      <w:numFmt w:val="lowerRoman"/>
      <w:lvlText w:val="%6."/>
      <w:lvlJc w:val="right"/>
      <w:pPr>
        <w:ind w:left="5662" w:hanging="180"/>
      </w:pPr>
    </w:lvl>
    <w:lvl w:ilvl="6" w:tentative="0">
      <w:start w:val="1"/>
      <w:numFmt w:val="decimal"/>
      <w:lvlText w:val="%7."/>
      <w:lvlJc w:val="left"/>
      <w:pPr>
        <w:ind w:left="6382" w:hanging="360"/>
      </w:pPr>
    </w:lvl>
    <w:lvl w:ilvl="7" w:tentative="0">
      <w:start w:val="1"/>
      <w:numFmt w:val="lowerLetter"/>
      <w:lvlText w:val="%8."/>
      <w:lvlJc w:val="left"/>
      <w:pPr>
        <w:ind w:left="7102" w:hanging="360"/>
      </w:pPr>
    </w:lvl>
    <w:lvl w:ilvl="8" w:tentative="0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hMjhiMmI5NmI5Yzc1MWFkYjA1MTdhNDA1NGVhOWQifQ=="/>
  </w:docVars>
  <w:rsids>
    <w:rsidRoot w:val="00E82855"/>
    <w:rsid w:val="000301BD"/>
    <w:rsid w:val="00103306"/>
    <w:rsid w:val="002C38C8"/>
    <w:rsid w:val="00374630"/>
    <w:rsid w:val="00484FEE"/>
    <w:rsid w:val="006A3228"/>
    <w:rsid w:val="00730170"/>
    <w:rsid w:val="007372FE"/>
    <w:rsid w:val="007E6F53"/>
    <w:rsid w:val="00840A88"/>
    <w:rsid w:val="0088115A"/>
    <w:rsid w:val="00A23B77"/>
    <w:rsid w:val="00A725D1"/>
    <w:rsid w:val="00B13900"/>
    <w:rsid w:val="00C41169"/>
    <w:rsid w:val="00C97681"/>
    <w:rsid w:val="00D47D83"/>
    <w:rsid w:val="00D7607C"/>
    <w:rsid w:val="00DA6D1B"/>
    <w:rsid w:val="00E519D1"/>
    <w:rsid w:val="00E51DA3"/>
    <w:rsid w:val="00E82855"/>
    <w:rsid w:val="00ED5B0E"/>
    <w:rsid w:val="09BC779C"/>
    <w:rsid w:val="0BC53F68"/>
    <w:rsid w:val="1D470726"/>
    <w:rsid w:val="2340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Текст выноски Знак"/>
    <w:basedOn w:val="6"/>
    <w:link w:val="2"/>
    <w:semiHidden/>
    <w:uiPriority w:val="99"/>
    <w:rPr>
      <w:rFonts w:ascii="Segoe UI" w:hAnsi="Segoe UI" w:cs="Segoe UI"/>
      <w:sz w:val="18"/>
      <w:szCs w:val="18"/>
    </w:rPr>
  </w:style>
  <w:style w:type="character" w:customStyle="1" w:styleId="9">
    <w:name w:val="未处理的提及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Верхний колонтитул Знак"/>
    <w:basedOn w:val="6"/>
    <w:link w:val="4"/>
    <w:autoRedefine/>
    <w:qFormat/>
    <w:uiPriority w:val="99"/>
    <w:rPr>
      <w:rFonts w:eastAsiaTheme="minorHAnsi"/>
      <w:sz w:val="18"/>
      <w:szCs w:val="18"/>
      <w:lang w:val="ru-RU" w:eastAsia="en-US"/>
    </w:rPr>
  </w:style>
  <w:style w:type="character" w:customStyle="1" w:styleId="11">
    <w:name w:val="Нижний колонтитул Знак"/>
    <w:basedOn w:val="6"/>
    <w:link w:val="3"/>
    <w:uiPriority w:val="99"/>
    <w:rPr>
      <w:rFonts w:eastAsiaTheme="minorHAnsi"/>
      <w:sz w:val="18"/>
      <w:szCs w:val="18"/>
      <w:lang w:val="ru-RU" w:eastAsia="en-US"/>
    </w:rPr>
  </w:style>
  <w:style w:type="paragraph" w:styleId="12">
    <w:name w:val="List Paragraph"/>
    <w:basedOn w:val="1"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B0460-4C9E-4091-B6F8-9D0CD91F78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872</Words>
  <Characters>4976</Characters>
  <Lines>41</Lines>
  <Paragraphs>11</Paragraphs>
  <TotalTime>9</TotalTime>
  <ScaleCrop>false</ScaleCrop>
  <LinksUpToDate>false</LinksUpToDate>
  <CharactersWithSpaces>5837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2024-04-21T09:38:00Z</dcterms:created>
  <dc:creator>Пользователь</dc:creator>
  <cp:lastModifiedBy>Fuze的救援</cp:lastModifiedBy>
  <dcterms:modified xsi:type="dcterms:W3CDTF">2024-04-21T13:10:00Z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27C1705710574C758AB24E8E0151614E_13</vt:lpwstr>
  </property>
</Properties>
</file>