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33080A" w14:textId="258AB4CF" w:rsidR="00923074" w:rsidRPr="004776B4" w:rsidRDefault="004776B4" w:rsidP="00E828A6">
      <w:pPr>
        <w:pBdr>
          <w:top w:val="nil"/>
          <w:left w:val="nil"/>
          <w:bottom w:val="nil"/>
          <w:right w:val="nil"/>
          <w:between w:val="nil"/>
        </w:pBdr>
        <w:jc w:val="center"/>
        <w:rPr>
          <w:b/>
          <w:color w:val="000000"/>
        </w:rPr>
      </w:pPr>
      <w:r>
        <w:rPr>
          <w:b/>
          <w:color w:val="000000"/>
        </w:rPr>
        <w:t>Влияние</w:t>
      </w:r>
      <w:r w:rsidR="00923074" w:rsidRPr="00923074">
        <w:rPr>
          <w:b/>
          <w:color w:val="000000"/>
        </w:rPr>
        <w:t xml:space="preserve"> извилистости пористых композитных электродов </w:t>
      </w:r>
      <w:r>
        <w:rPr>
          <w:b/>
          <w:color w:val="000000"/>
        </w:rPr>
        <w:t>на электрохимические свойства</w:t>
      </w:r>
      <w:r w:rsidR="00923074" w:rsidRPr="00923074">
        <w:rPr>
          <w:b/>
          <w:color w:val="000000"/>
        </w:rPr>
        <w:t xml:space="preserve"> катодного материала Na</w:t>
      </w:r>
      <w:r w:rsidR="00923074" w:rsidRPr="00923074">
        <w:rPr>
          <w:b/>
          <w:color w:val="000000"/>
          <w:vertAlign w:val="subscript"/>
        </w:rPr>
        <w:t>3</w:t>
      </w:r>
      <w:r w:rsidR="00923074" w:rsidRPr="00923074">
        <w:rPr>
          <w:b/>
          <w:color w:val="000000"/>
        </w:rPr>
        <w:t>V</w:t>
      </w:r>
      <w:r w:rsidR="00923074" w:rsidRPr="00923074">
        <w:rPr>
          <w:b/>
          <w:color w:val="000000"/>
          <w:vertAlign w:val="subscript"/>
        </w:rPr>
        <w:t>2</w:t>
      </w:r>
      <w:r w:rsidR="00923074" w:rsidRPr="00923074">
        <w:rPr>
          <w:b/>
          <w:color w:val="000000"/>
        </w:rPr>
        <w:t>(PO</w:t>
      </w:r>
      <w:r w:rsidR="00923074" w:rsidRPr="00923074">
        <w:rPr>
          <w:b/>
          <w:color w:val="000000"/>
          <w:vertAlign w:val="subscript"/>
        </w:rPr>
        <w:t>4</w:t>
      </w:r>
      <w:r w:rsidR="00923074" w:rsidRPr="00923074">
        <w:rPr>
          <w:b/>
          <w:color w:val="000000"/>
        </w:rPr>
        <w:t>)</w:t>
      </w:r>
      <w:r w:rsidR="00923074" w:rsidRPr="00923074">
        <w:rPr>
          <w:b/>
          <w:color w:val="000000"/>
          <w:vertAlign w:val="subscript"/>
        </w:rPr>
        <w:t>3</w:t>
      </w:r>
      <w:r>
        <w:rPr>
          <w:b/>
          <w:color w:val="000000"/>
        </w:rPr>
        <w:t xml:space="preserve"> при пониженных температурах</w:t>
      </w:r>
    </w:p>
    <w:p w14:paraId="6592FDE3" w14:textId="263A9277" w:rsidR="0020139A" w:rsidRDefault="0020139A" w:rsidP="00E828A6">
      <w:pPr>
        <w:pBdr>
          <w:top w:val="nil"/>
          <w:left w:val="nil"/>
          <w:bottom w:val="nil"/>
          <w:right w:val="nil"/>
          <w:between w:val="nil"/>
        </w:pBdr>
        <w:jc w:val="center"/>
        <w:rPr>
          <w:color w:val="000000"/>
        </w:rPr>
      </w:pPr>
      <w:r>
        <w:rPr>
          <w:b/>
          <w:i/>
          <w:color w:val="000000"/>
        </w:rPr>
        <w:t>Дьяконов А. К.,</w:t>
      </w:r>
      <w:r>
        <w:rPr>
          <w:b/>
          <w:i/>
          <w:color w:val="000000"/>
          <w:vertAlign w:val="superscript"/>
        </w:rPr>
        <w:t>1</w:t>
      </w:r>
      <w:r>
        <w:rPr>
          <w:b/>
          <w:i/>
          <w:color w:val="000000"/>
        </w:rPr>
        <w:t xml:space="preserve"> Захаркин М.В.,</w:t>
      </w:r>
      <w:r>
        <w:rPr>
          <w:b/>
          <w:i/>
          <w:color w:val="000000"/>
          <w:vertAlign w:val="superscript"/>
        </w:rPr>
        <w:t>1</w:t>
      </w:r>
      <w:r>
        <w:rPr>
          <w:b/>
          <w:i/>
          <w:color w:val="000000"/>
        </w:rPr>
        <w:t xml:space="preserve"> Никитина В.А.</w:t>
      </w:r>
      <w:r w:rsidR="001D5A5F">
        <w:rPr>
          <w:b/>
          <w:i/>
          <w:color w:val="000000"/>
          <w:vertAlign w:val="superscript"/>
        </w:rPr>
        <w:t>2</w:t>
      </w:r>
      <w:r w:rsidRPr="00BF4622">
        <w:rPr>
          <w:b/>
          <w:color w:val="000000"/>
        </w:rPr>
        <w:t xml:space="preserve"> </w:t>
      </w:r>
    </w:p>
    <w:p w14:paraId="5322D77D" w14:textId="13506123" w:rsidR="0020139A" w:rsidRDefault="0020139A" w:rsidP="00E828A6">
      <w:pPr>
        <w:pBdr>
          <w:top w:val="nil"/>
          <w:left w:val="nil"/>
          <w:bottom w:val="nil"/>
          <w:right w:val="nil"/>
          <w:between w:val="nil"/>
        </w:pBdr>
        <w:jc w:val="center"/>
        <w:rPr>
          <w:color w:val="000000"/>
        </w:rPr>
      </w:pPr>
      <w:r>
        <w:rPr>
          <w:i/>
          <w:color w:val="000000"/>
        </w:rPr>
        <w:t xml:space="preserve">Студент, </w:t>
      </w:r>
      <w:r w:rsidR="005B048C">
        <w:rPr>
          <w:i/>
          <w:color w:val="000000"/>
        </w:rPr>
        <w:t>5</w:t>
      </w:r>
      <w:r>
        <w:rPr>
          <w:i/>
          <w:color w:val="000000"/>
        </w:rPr>
        <w:t xml:space="preserve"> курс специалитета</w:t>
      </w:r>
    </w:p>
    <w:p w14:paraId="7AB1B112" w14:textId="13D3D650" w:rsidR="0020139A" w:rsidRPr="00921D45" w:rsidRDefault="0020139A" w:rsidP="00E828A6">
      <w:pPr>
        <w:pBdr>
          <w:top w:val="nil"/>
          <w:left w:val="nil"/>
          <w:bottom w:val="nil"/>
          <w:right w:val="nil"/>
          <w:between w:val="nil"/>
        </w:pBdr>
        <w:jc w:val="center"/>
        <w:rPr>
          <w:color w:val="000000"/>
        </w:rPr>
      </w:pPr>
      <w:r>
        <w:rPr>
          <w:i/>
          <w:color w:val="000000"/>
          <w:vertAlign w:val="superscript"/>
        </w:rPr>
        <w:t>1</w:t>
      </w:r>
      <w:r>
        <w:rPr>
          <w:i/>
          <w:color w:val="000000"/>
        </w:rPr>
        <w:t>Московский государственный университет имени М.В. Ломоносова, </w:t>
      </w:r>
    </w:p>
    <w:p w14:paraId="0DE2F781" w14:textId="31D7BFD2" w:rsidR="0020139A" w:rsidRPr="00391C38" w:rsidRDefault="0020139A" w:rsidP="00E828A6">
      <w:pPr>
        <w:pBdr>
          <w:top w:val="nil"/>
          <w:left w:val="nil"/>
          <w:bottom w:val="nil"/>
          <w:right w:val="nil"/>
          <w:between w:val="nil"/>
        </w:pBdr>
        <w:jc w:val="center"/>
        <w:rPr>
          <w:color w:val="000000"/>
        </w:rPr>
      </w:pPr>
      <w:r>
        <w:rPr>
          <w:i/>
          <w:color w:val="000000"/>
        </w:rPr>
        <w:t>химический факультет, Москва, Россия</w:t>
      </w:r>
    </w:p>
    <w:p w14:paraId="261D3361" w14:textId="7069B118" w:rsidR="00116478" w:rsidRPr="0020139A" w:rsidRDefault="0020139A" w:rsidP="00E828A6">
      <w:pPr>
        <w:pBdr>
          <w:top w:val="nil"/>
          <w:left w:val="nil"/>
          <w:bottom w:val="nil"/>
          <w:right w:val="nil"/>
          <w:between w:val="nil"/>
        </w:pBdr>
        <w:jc w:val="center"/>
        <w:rPr>
          <w:color w:val="000000"/>
        </w:rPr>
      </w:pPr>
      <w:r>
        <w:rPr>
          <w:i/>
          <w:color w:val="000000"/>
          <w:vertAlign w:val="superscript"/>
        </w:rPr>
        <w:t>2</w:t>
      </w:r>
      <w:r>
        <w:rPr>
          <w:i/>
          <w:color w:val="000000"/>
        </w:rPr>
        <w:t>Сколковский институт науки и технологии,</w:t>
      </w:r>
      <w:r w:rsidR="00413DF8">
        <w:rPr>
          <w:i/>
          <w:color w:val="000000"/>
        </w:rPr>
        <w:t xml:space="preserve"> центр энергетических технологий,</w:t>
      </w:r>
      <w:r>
        <w:rPr>
          <w:i/>
          <w:color w:val="000000"/>
        </w:rPr>
        <w:t xml:space="preserve"> Москва, Россия</w:t>
      </w:r>
      <w:r>
        <w:rPr>
          <w:i/>
          <w:color w:val="000000"/>
        </w:rPr>
        <w:br/>
        <w:t xml:space="preserve">E-mail: </w:t>
      </w:r>
      <w:r w:rsidRPr="00BD27D9">
        <w:rPr>
          <w:i/>
          <w:lang w:val="en-US"/>
        </w:rPr>
        <w:t>andrdyakonov</w:t>
      </w:r>
      <w:r w:rsidRPr="00BD27D9">
        <w:rPr>
          <w:i/>
        </w:rPr>
        <w:t>2001@</w:t>
      </w:r>
      <w:r w:rsidRPr="00BD27D9">
        <w:rPr>
          <w:i/>
          <w:lang w:val="en-US"/>
        </w:rPr>
        <w:t>yandex</w:t>
      </w:r>
      <w:r w:rsidRPr="00BD27D9">
        <w:rPr>
          <w:i/>
        </w:rPr>
        <w:t>.</w:t>
      </w:r>
      <w:r w:rsidRPr="00BD27D9">
        <w:rPr>
          <w:i/>
          <w:lang w:val="en-US"/>
        </w:rPr>
        <w:t>ru</w:t>
      </w:r>
    </w:p>
    <w:p w14:paraId="0710E3BB" w14:textId="77976C88" w:rsidR="00D739AB" w:rsidRPr="00A449AD" w:rsidRDefault="00E31AB6" w:rsidP="00923074">
      <w:pPr>
        <w:pBdr>
          <w:top w:val="nil"/>
          <w:left w:val="nil"/>
          <w:bottom w:val="nil"/>
          <w:right w:val="nil"/>
          <w:between w:val="nil"/>
        </w:pBdr>
        <w:shd w:val="clear" w:color="auto" w:fill="FFFFFF"/>
        <w:ind w:firstLine="397"/>
        <w:jc w:val="both"/>
        <w:rPr>
          <w:color w:val="000000"/>
        </w:rPr>
      </w:pPr>
      <w:r>
        <w:rPr>
          <w:color w:val="000000"/>
        </w:rPr>
        <w:t>Коэффициент полезного действия современных литий и натрий-ионных аккумуляторов близок к 100%, что обуславливает разнообразие применений металл-ионных аккумуляторов</w:t>
      </w:r>
      <w:r w:rsidR="00927EEA">
        <w:rPr>
          <w:color w:val="000000"/>
        </w:rPr>
        <w:t xml:space="preserve"> (МИА)</w:t>
      </w:r>
      <w:r>
        <w:rPr>
          <w:color w:val="000000"/>
        </w:rPr>
        <w:t xml:space="preserve"> в технике. Одной из наиболее актуальных задач является разработка </w:t>
      </w:r>
      <w:r w:rsidR="00927EEA" w:rsidRPr="00A449AD">
        <w:rPr>
          <w:color w:val="000000"/>
        </w:rPr>
        <w:t>М</w:t>
      </w:r>
      <w:r w:rsidRPr="00A449AD">
        <w:rPr>
          <w:color w:val="000000"/>
        </w:rPr>
        <w:t xml:space="preserve">ИА, сохраняющих высокую </w:t>
      </w:r>
      <w:r w:rsidR="00927EEA" w:rsidRPr="00A449AD">
        <w:rPr>
          <w:color w:val="000000"/>
        </w:rPr>
        <w:t>объемную плотность энергии</w:t>
      </w:r>
      <w:r w:rsidR="0033610A" w:rsidRPr="00A449AD">
        <w:rPr>
          <w:color w:val="000000"/>
        </w:rPr>
        <w:t xml:space="preserve"> </w:t>
      </w:r>
      <w:r w:rsidR="0024034C" w:rsidRPr="00A449AD">
        <w:rPr>
          <w:color w:val="000000"/>
        </w:rPr>
        <w:t>в любых климатических условиях, в том ч</w:t>
      </w:r>
      <w:r w:rsidR="0033610A" w:rsidRPr="00A449AD">
        <w:rPr>
          <w:color w:val="000000"/>
        </w:rPr>
        <w:t>исле при низких температурах</w:t>
      </w:r>
      <w:r w:rsidR="0024034C" w:rsidRPr="00A449AD">
        <w:rPr>
          <w:color w:val="000000"/>
        </w:rPr>
        <w:t xml:space="preserve">. Однако, кинетические ограничения на уровне частиц электродного материала и пористого композитного электрода </w:t>
      </w:r>
      <w:r w:rsidR="00AB118A" w:rsidRPr="00A449AD">
        <w:rPr>
          <w:color w:val="000000"/>
        </w:rPr>
        <w:t>ведут к потерям энергоемкости. К явлениям</w:t>
      </w:r>
      <w:r w:rsidR="00A449AD" w:rsidRPr="00A449AD">
        <w:rPr>
          <w:color w:val="000000"/>
        </w:rPr>
        <w:t xml:space="preserve">, возникающим на уровне электродного композита, </w:t>
      </w:r>
      <w:r w:rsidR="00AB118A" w:rsidRPr="00A449AD">
        <w:rPr>
          <w:color w:val="000000"/>
        </w:rPr>
        <w:t>относят низкую электронную проводимость композитного электрода и концентрационную поляризацию в порах</w:t>
      </w:r>
      <w:r w:rsidR="004776B4" w:rsidRPr="00A449AD">
        <w:rPr>
          <w:color w:val="000000"/>
        </w:rPr>
        <w:t xml:space="preserve"> </w:t>
      </w:r>
      <w:r w:rsidR="00E93C72" w:rsidRPr="00A449AD">
        <w:rPr>
          <w:color w:val="000000"/>
        </w:rPr>
        <w:fldChar w:fldCharType="begin" w:fldLock="1"/>
      </w:r>
      <w:r w:rsidR="00E93C72" w:rsidRPr="00A449AD">
        <w:rPr>
          <w:color w:val="000000"/>
        </w:rPr>
        <w:instrText>ADDIN CSL_CITATION {"citationItems":[{"id":"ITEM-1","itemData":{"DOI":"10.1016/j.isci.2021.103496","ISSN":"25890042","abstract":"Driven by expanding interest in battery storage solutions and the success story of lithium-ion batteries, the research for the discovery and optimization of new battery materials and concepts is at peak. The generation of experimental (dis)charge data using coin cells is fast and feasible and proves to be a favorite practice in the battery research labs. The quantitative interpretation of the data, however, is not trivial and decelerates the process of screening and optimization of electrode materials and recipes. Here, we introduce the concept of polarographic map and demonstrate how it can be leveraged to quantify the contribution of different non-equilibrium phenomena to the performance limitation and total polarization of a lithium-ion cell. We showcase the accuracy and diagnostic power of this approach by preparing and analyzing the electrochemical performance of 54 sets of LiNixMnyCo1-x-yO2 electrodes with different formulations and designs discharged in a range of 0.2C–5C.","author":[{"dropping-particle":"","family":"Hamed","given":"Hamid","non-dropping-particle":"","parse-names":false,"suffix":""},{"dropping-particle":"","family":"Henderick","given":"Lowie","non-dropping-particle":"","parse-names":false,"suffix":""},{"dropping-particle":"","family":"Choobar","given":"Behnam Ghalami","non-dropping-particle":"","parse-names":false,"suffix":""},{"dropping-particle":"","family":"D'Haen","given":"Jan","non-dropping-particle":"","parse-names":false,"suffix":""},{"dropping-particle":"","family":"Detavernier","given":"Christophe","non-dropping-particle":"","parse-names":false,"suffix":""},{"dropping-particle":"","family":"Hardy","given":"An","non-dropping-particle":"","parse-names":false,"suffix":""},{"dropping-particle":"","family":"Safari","given":"Mohammadhosein","non-dropping-particle":"","parse-names":false,"suffix":""}],"container-title":"iScience","id":"ITEM-1","issue":"12","issued":{"date-parts":[["2021"]]},"page":"103496","publisher":"The Author(s)","title":"A limitation map of performance for porous electrodes in lithium-ion batteries","type":"article-journal","volume":"24"},"uris":["http://www.mendeley.com/documents/?uuid=44a41b23-e5ed-4bb3-9b34-96b3210cb806"]}],"mendeley":{"formattedCitation":"[1]","plainTextFormattedCitation":"[1]","previouslyFormattedCitation":"[1]"},"properties":{"noteIndex":0},"schema":"https://github.com/citation-style-language/schema/raw/master/csl-citation.json"}</w:instrText>
      </w:r>
      <w:r w:rsidR="00E93C72" w:rsidRPr="00A449AD">
        <w:rPr>
          <w:color w:val="000000"/>
        </w:rPr>
        <w:fldChar w:fldCharType="separate"/>
      </w:r>
      <w:r w:rsidR="00E93C72" w:rsidRPr="00A449AD">
        <w:rPr>
          <w:color w:val="000000"/>
        </w:rPr>
        <w:t>[1]</w:t>
      </w:r>
      <w:r w:rsidR="00E93C72" w:rsidRPr="00A449AD">
        <w:rPr>
          <w:color w:val="000000"/>
        </w:rPr>
        <w:fldChar w:fldCharType="end"/>
      </w:r>
      <w:r w:rsidR="004776B4" w:rsidRPr="00A449AD">
        <w:rPr>
          <w:color w:val="000000"/>
        </w:rPr>
        <w:t>.</w:t>
      </w:r>
      <w:r w:rsidR="009A2958" w:rsidRPr="00A449AD">
        <w:rPr>
          <w:color w:val="000000"/>
        </w:rPr>
        <w:t xml:space="preserve"> Диффузионные ограничения, </w:t>
      </w:r>
      <w:r w:rsidR="004776B4" w:rsidRPr="00A449AD">
        <w:rPr>
          <w:color w:val="000000"/>
        </w:rPr>
        <w:t>приводящие к</w:t>
      </w:r>
      <w:r w:rsidR="009A2958" w:rsidRPr="00A449AD">
        <w:rPr>
          <w:color w:val="000000"/>
        </w:rPr>
        <w:t xml:space="preserve"> поляризаци</w:t>
      </w:r>
      <w:r w:rsidR="004776B4" w:rsidRPr="00A449AD">
        <w:rPr>
          <w:color w:val="000000"/>
        </w:rPr>
        <w:t>и композитных электродов</w:t>
      </w:r>
      <w:r w:rsidR="009A2958" w:rsidRPr="00A449AD">
        <w:rPr>
          <w:color w:val="000000"/>
        </w:rPr>
        <w:t xml:space="preserve">, </w:t>
      </w:r>
      <w:r w:rsidR="004776B4" w:rsidRPr="00A449AD">
        <w:rPr>
          <w:color w:val="000000"/>
        </w:rPr>
        <w:t>вызваны</w:t>
      </w:r>
      <w:r w:rsidR="00D739AB" w:rsidRPr="00A449AD">
        <w:rPr>
          <w:color w:val="000000"/>
        </w:rPr>
        <w:t xml:space="preserve"> увеличением длины пути иона в порах композита в сравнении таковой в объеме жидкости, т.е. извилистостью пор</w:t>
      </w:r>
      <w:r w:rsidR="00923074" w:rsidRPr="00A449AD">
        <w:rPr>
          <w:color w:val="000000"/>
        </w:rPr>
        <w:t>.</w:t>
      </w:r>
    </w:p>
    <w:p w14:paraId="3C3FF76D" w14:textId="00473304" w:rsidR="00570F05" w:rsidRPr="00734189" w:rsidRDefault="00570F05" w:rsidP="00570F05">
      <w:pPr>
        <w:pBdr>
          <w:top w:val="nil"/>
          <w:left w:val="nil"/>
          <w:bottom w:val="nil"/>
          <w:right w:val="nil"/>
          <w:between w:val="nil"/>
        </w:pBdr>
        <w:shd w:val="clear" w:color="auto" w:fill="FFFFFF"/>
        <w:ind w:firstLine="397"/>
        <w:jc w:val="both"/>
        <w:rPr>
          <w:color w:val="000000"/>
        </w:rPr>
      </w:pPr>
      <w:r w:rsidRPr="00A449AD">
        <w:rPr>
          <w:color w:val="000000"/>
        </w:rPr>
        <w:t xml:space="preserve">В настоящей работе проведено исследование влияния </w:t>
      </w:r>
      <w:r w:rsidR="00D739AB" w:rsidRPr="00A449AD">
        <w:rPr>
          <w:color w:val="000000"/>
        </w:rPr>
        <w:t>извилистости пор электродного композита</w:t>
      </w:r>
      <w:r w:rsidRPr="00A449AD">
        <w:rPr>
          <w:color w:val="000000"/>
        </w:rPr>
        <w:t xml:space="preserve"> на поляризационные эффекты, наблюда</w:t>
      </w:r>
      <w:r w:rsidR="00D739AB" w:rsidRPr="00A449AD">
        <w:rPr>
          <w:color w:val="000000"/>
        </w:rPr>
        <w:t>ющиеся</w:t>
      </w:r>
      <w:r w:rsidR="00D739AB">
        <w:rPr>
          <w:color w:val="000000"/>
        </w:rPr>
        <w:t xml:space="preserve"> для электродов различной </w:t>
      </w:r>
      <w:r w:rsidR="00DC309E">
        <w:rPr>
          <w:color w:val="000000"/>
        </w:rPr>
        <w:t xml:space="preserve">архитектуры </w:t>
      </w:r>
      <w:r w:rsidR="00D739AB">
        <w:rPr>
          <w:color w:val="000000"/>
        </w:rPr>
        <w:t>при пониженных температурах</w:t>
      </w:r>
      <w:r w:rsidRPr="00425E79">
        <w:rPr>
          <w:color w:val="000000"/>
        </w:rPr>
        <w:t>. В качестве объекта исследован</w:t>
      </w:r>
      <w:r>
        <w:rPr>
          <w:color w:val="000000"/>
        </w:rPr>
        <w:t>ия был выбран катодный материал</w:t>
      </w:r>
      <w:r w:rsidR="0001291F">
        <w:rPr>
          <w:color w:val="000000"/>
        </w:rPr>
        <w:t xml:space="preserve"> </w:t>
      </w:r>
      <w:r w:rsidRPr="00EF49BA">
        <w:rPr>
          <w:color w:val="000000"/>
        </w:rPr>
        <w:t>Na</w:t>
      </w:r>
      <w:r w:rsidRPr="008F25CB">
        <w:rPr>
          <w:color w:val="000000"/>
          <w:vertAlign w:val="subscript"/>
        </w:rPr>
        <w:t>3</w:t>
      </w:r>
      <w:r w:rsidRPr="00EF49BA">
        <w:rPr>
          <w:color w:val="000000"/>
        </w:rPr>
        <w:t>V</w:t>
      </w:r>
      <w:r w:rsidRPr="008F25CB">
        <w:rPr>
          <w:color w:val="000000"/>
          <w:vertAlign w:val="subscript"/>
        </w:rPr>
        <w:t>2</w:t>
      </w:r>
      <w:r w:rsidRPr="00425E79">
        <w:rPr>
          <w:color w:val="000000"/>
        </w:rPr>
        <w:t>(</w:t>
      </w:r>
      <w:r w:rsidRPr="00EF49BA">
        <w:rPr>
          <w:color w:val="000000"/>
        </w:rPr>
        <w:t>PO</w:t>
      </w:r>
      <w:r w:rsidRPr="008F25CB">
        <w:rPr>
          <w:color w:val="000000"/>
          <w:vertAlign w:val="subscript"/>
        </w:rPr>
        <w:t>4</w:t>
      </w:r>
      <w:r w:rsidRPr="00425E79">
        <w:rPr>
          <w:color w:val="000000"/>
        </w:rPr>
        <w:t>)</w:t>
      </w:r>
      <w:r w:rsidRPr="008F25CB">
        <w:rPr>
          <w:color w:val="000000"/>
          <w:vertAlign w:val="subscript"/>
        </w:rPr>
        <w:t>3</w:t>
      </w:r>
      <w:r w:rsidRPr="00425E79">
        <w:rPr>
          <w:color w:val="000000"/>
        </w:rPr>
        <w:t xml:space="preserve">, </w:t>
      </w:r>
      <w:r w:rsidR="0001291F">
        <w:rPr>
          <w:color w:val="000000"/>
        </w:rPr>
        <w:t>(</w:t>
      </w:r>
      <w:r w:rsidRPr="00425E79">
        <w:rPr>
          <w:color w:val="000000"/>
        </w:rPr>
        <w:t>NVP)</w:t>
      </w:r>
      <w:r w:rsidR="00D71AFF" w:rsidRPr="00D71AFF">
        <w:rPr>
          <w:color w:val="000000"/>
        </w:rPr>
        <w:t xml:space="preserve"> </w:t>
      </w:r>
      <w:r w:rsidR="00E93C72">
        <w:rPr>
          <w:color w:val="000000"/>
        </w:rPr>
        <w:fldChar w:fldCharType="begin" w:fldLock="1"/>
      </w:r>
      <w:r w:rsidR="00472F13">
        <w:rPr>
          <w:color w:val="000000"/>
        </w:rPr>
        <w:instrText>ADDIN CSL_CITATION {"citationItems":[{"id":"ITEM-1","itemData":{"DOI":"10.1016/j.jssc.2022.123669","ISSN":"1095726X","abstract":"NASICON (super ionic conductor)-type Na3V2(PO4)3 (NVP) has been widely studied as a very promising cathode material for sodium-ion batteries (SIBs) due to its high theoretical specific capacity, high voltage platform, good chemical stability, its unique three-dimensional (3D) open crystal structure, and the de/intercalation of sodium ions during charge/discharge. However, the high Na+ diffusion ability of NVP is accompanied by the large bulk structure and poor electronic conductivity, which leads to poor electrochemical performance in terms of rate capability and cycling stability and thus impedes its practical application. Herein, the research development of NVP sodium ion cathode materials are reviewed in recent years. Based on the crystal structure and ion migration mechanism of NVP materials, the sodium storage mechanism and theoretical capacitance of NVP materials are introduced, and the effects of different preparation methods on the electrochemical properties of NVP materials are summarized and compared. The modification research strategies to improve the electrochemical performance of NVP electrode materials are mainly discussed, including carbon material modification, ion doping, and material Nano-crystallization. Finally, some remarks are made on the challenges and prospects for the future development of NVP cathodes.","author":[{"dropping-particle":"","family":"Zhu","given":"Yuanqiang","non-dropping-particle":"","parse-names":false,"suffix":""},{"dropping-particle":"","family":"Xu","given":"Hui","non-dropping-particle":"","parse-names":false,"suffix":""},{"dropping-particle":"","family":"Ma","given":"Ji","non-dropping-particle":"","parse-names":false,"suffix":""},{"dropping-particle":"","family":"Chen","given":"Pengdong","non-dropping-particle":"","parse-names":false,"suffix":""},{"dropping-particle":"","family":"Chen","given":"Yong","non-dropping-particle":"","parse-names":false,"suffix":""}],"container-title":"Journal of Solid State Chemistry","id":"ITEM-1","issue":"October 2022","issued":{"date-parts":[["2023"]]},"title":"The recent advances of NASICON-Na3V2(PO4)3 cathode materials for sodium-ion batteries","type":"article-journal","volume":"317"},"uris":["http://www.mendeley.com/documents/?uuid=233327ce-b516-40bd-bf8b-e50745cdb2f9"]}],"mendeley":{"formattedCitation":"[2]","plainTextFormattedCitation":"[2]","previouslyFormattedCitation":"[2]"},"properties":{"noteIndex":0},"schema":"https://github.com/citation-style-language/schema/raw/master/csl-citation.json"}</w:instrText>
      </w:r>
      <w:r w:rsidR="00E93C72">
        <w:rPr>
          <w:color w:val="000000"/>
        </w:rPr>
        <w:fldChar w:fldCharType="separate"/>
      </w:r>
      <w:r w:rsidR="00E93C72" w:rsidRPr="00E93C72">
        <w:rPr>
          <w:color w:val="000000"/>
        </w:rPr>
        <w:t>[2]</w:t>
      </w:r>
      <w:r w:rsidR="00E93C72">
        <w:rPr>
          <w:color w:val="000000"/>
        </w:rPr>
        <w:fldChar w:fldCharType="end"/>
      </w:r>
      <w:r w:rsidR="00D71AFF" w:rsidRPr="00D71AFF">
        <w:rPr>
          <w:color w:val="000000"/>
        </w:rPr>
        <w:t>.</w:t>
      </w:r>
      <w:r w:rsidRPr="00425E79">
        <w:rPr>
          <w:color w:val="000000"/>
        </w:rPr>
        <w:t xml:space="preserve"> </w:t>
      </w:r>
      <w:r w:rsidRPr="008B55CD">
        <w:rPr>
          <w:color w:val="000000"/>
        </w:rPr>
        <w:t xml:space="preserve">Этот материал </w:t>
      </w:r>
      <w:r w:rsidRPr="001D5A5F">
        <w:rPr>
          <w:color w:val="000000"/>
        </w:rPr>
        <w:t>демонстрирует</w:t>
      </w:r>
      <w:r w:rsidRPr="008B55CD">
        <w:rPr>
          <w:color w:val="000000"/>
        </w:rPr>
        <w:t xml:space="preserve"> относительно высок</w:t>
      </w:r>
      <w:r>
        <w:rPr>
          <w:color w:val="000000"/>
        </w:rPr>
        <w:t>ую теоретическую емкость 118</w:t>
      </w:r>
      <w:r w:rsidRPr="00EF49BA">
        <w:rPr>
          <w:color w:val="000000"/>
        </w:rPr>
        <w:t> </w:t>
      </w:r>
      <w:r>
        <w:rPr>
          <w:color w:val="000000"/>
        </w:rPr>
        <w:t>мАч/г, соответствующую</w:t>
      </w:r>
      <w:r w:rsidRPr="008B55CD">
        <w:rPr>
          <w:color w:val="000000"/>
        </w:rPr>
        <w:t xml:space="preserve"> деинтеркаляции</w:t>
      </w:r>
      <w:r>
        <w:rPr>
          <w:color w:val="000000"/>
        </w:rPr>
        <w:t xml:space="preserve"> двух ионов натрия на формульную единицу.</w:t>
      </w:r>
      <w:r w:rsidR="00D739AB">
        <w:rPr>
          <w:color w:val="000000"/>
        </w:rPr>
        <w:t xml:space="preserve"> Разработана методика создания электродов</w:t>
      </w:r>
      <w:r w:rsidR="00D71AFF">
        <w:rPr>
          <w:color w:val="000000"/>
        </w:rPr>
        <w:t xml:space="preserve"> с загрузкой 20</w:t>
      </w:r>
      <w:r w:rsidR="00D71AFF" w:rsidRPr="00EF49BA">
        <w:rPr>
          <w:color w:val="000000"/>
        </w:rPr>
        <w:t> </w:t>
      </w:r>
      <w:r w:rsidR="0001291F">
        <w:rPr>
          <w:color w:val="000000"/>
        </w:rPr>
        <w:t>мг/см</w:t>
      </w:r>
      <w:r w:rsidR="0001291F" w:rsidRPr="00EF49BA">
        <w:rPr>
          <w:color w:val="000000"/>
          <w:vertAlign w:val="superscript"/>
        </w:rPr>
        <w:t>2</w:t>
      </w:r>
      <w:r w:rsidR="00D739AB">
        <w:rPr>
          <w:color w:val="000000"/>
        </w:rPr>
        <w:t xml:space="preserve"> с </w:t>
      </w:r>
      <w:r w:rsidR="0001291F">
        <w:rPr>
          <w:color w:val="000000"/>
        </w:rPr>
        <w:t>направленными перпендикулярно к поверхности электрода порами</w:t>
      </w:r>
      <w:r w:rsidR="00D739AB">
        <w:rPr>
          <w:color w:val="000000"/>
        </w:rPr>
        <w:t>,</w:t>
      </w:r>
      <w:r w:rsidR="0001291F">
        <w:rPr>
          <w:color w:val="000000"/>
        </w:rPr>
        <w:t xml:space="preserve"> основанная на упорядочении частиц электродного материала в магнитном поле.</w:t>
      </w:r>
      <w:r w:rsidR="00602B49">
        <w:rPr>
          <w:color w:val="000000"/>
        </w:rPr>
        <w:t xml:space="preserve"> С помощью анализа спектров электрохимического импеданса, зарегистри</w:t>
      </w:r>
      <w:r w:rsidR="00472F13">
        <w:rPr>
          <w:color w:val="000000"/>
        </w:rPr>
        <w:t>рованных в симметричных ячейках</w:t>
      </w:r>
      <w:r w:rsidR="00D71AFF" w:rsidRPr="00D71AFF">
        <w:rPr>
          <w:color w:val="000000"/>
        </w:rPr>
        <w:t xml:space="preserve"> </w:t>
      </w:r>
      <w:r w:rsidR="00472F13">
        <w:rPr>
          <w:color w:val="000000"/>
        </w:rPr>
        <w:fldChar w:fldCharType="begin" w:fldLock="1"/>
      </w:r>
      <w:r w:rsidR="00472F13">
        <w:rPr>
          <w:color w:val="000000"/>
        </w:rPr>
        <w:instrText>ADDIN CSL_CITATION {"citationItems":[{"id":"ITEM-1","itemData":{"DOI":"10.1149/1945-7111/ab8975","ISSN":"19457111","abstract":"A generalized, noninvasive technique based on electrochemical impedance spectroscopy is proposed to quantify the electrolyte transport resistance of typical electrode microstructures for lithium ion batteries. The electrolyte transport resistance, representative of the pore network resistance, can be obtained via an impedance analytics approach, thus quantifying the tortuosity of porous electrode microstructures. A characteristic coefficient is defined and estimated for more electronically conductive graphite, lithium cobalt oxide (LCO), and nickel-manganese-cobalt oxide (NMC) electrodes, and for less electronically conductive lithium iron phosphate (LFP) and lithium titanate (LTO) electrodes. The fitting of the electrochemical impedance spectra by the general transmission line model yields unambiguous values by adding an independent determination of the electronic resistance. Such an independent determination of the electronic resistance can be easily done by sandwiching the composite electrode between two ion-blocking electrodes. This would be essential to verify the approach for electrodes with low electronic conductivity, such as LFP and LTO. This method is capable of adequately capturing the influence of particle size and morphology on the pore-scale tortuosity of electrode microstructures.","author":[{"dropping-particle":"","family":"Wang","given":"Wenxiu","non-dropping-particle":"","parse-names":false,"suffix":""},{"dropping-particle":"","family":"Juarez-Robles","given":"Daniel","non-dropping-particle":"","parse-names":false,"suffix":""},{"dropping-particle":"","family":"Mukherjee","given":"Partha P.","non-dropping-particle":"","parse-names":false,"suffix":""}],"container-title":"Journal of The Electrochemical Society","id":"ITEM-1","issue":"8","issued":{"date-parts":[["2020"]]},"page":"080510","publisher":"IOP Publishing","title":"Electroanalytical Quantification of Electrolyte Transport Resistance in Porous Electrodes","type":"article-journal","volume":"167"},"uris":["http://www.mendeley.com/documents/?uuid=bbda62f0-53ac-49fa-98f2-6ca777fbc31c"]}],"mendeley":{"formattedCitation":"[3]","plainTextFormattedCitation":"[3]","previouslyFormattedCitation":"[3]"},"properties":{"noteIndex":0},"schema":"https://github.com/citation-style-language/schema/raw/master/csl-citation.json"}</w:instrText>
      </w:r>
      <w:r w:rsidR="00472F13">
        <w:rPr>
          <w:color w:val="000000"/>
        </w:rPr>
        <w:fldChar w:fldCharType="separate"/>
      </w:r>
      <w:r w:rsidR="00472F13" w:rsidRPr="00472F13">
        <w:rPr>
          <w:color w:val="000000"/>
        </w:rPr>
        <w:t>[3]</w:t>
      </w:r>
      <w:r w:rsidR="00472F13">
        <w:rPr>
          <w:color w:val="000000"/>
        </w:rPr>
        <w:fldChar w:fldCharType="end"/>
      </w:r>
      <w:r w:rsidR="00D71AFF" w:rsidRPr="00D71AFF">
        <w:rPr>
          <w:color w:val="000000"/>
        </w:rPr>
        <w:t>,</w:t>
      </w:r>
      <w:r w:rsidR="00472F13">
        <w:rPr>
          <w:color w:val="000000"/>
        </w:rPr>
        <w:t xml:space="preserve"> </w:t>
      </w:r>
      <w:r w:rsidR="00602B49">
        <w:rPr>
          <w:color w:val="000000"/>
        </w:rPr>
        <w:t>п</w:t>
      </w:r>
      <w:r w:rsidR="0001291F">
        <w:rPr>
          <w:color w:val="000000"/>
        </w:rPr>
        <w:t>олучены зависимости</w:t>
      </w:r>
      <w:r w:rsidR="00602B49">
        <w:rPr>
          <w:color w:val="000000"/>
        </w:rPr>
        <w:t xml:space="preserve"> извилистости композитных электродов со случайным и предпочтительным направлением пор от температуры. Также при помощи метода электрохимического импеданса оценена электронная проводимость электродов обоих типов.</w:t>
      </w:r>
      <w:r w:rsidR="004776B4">
        <w:rPr>
          <w:color w:val="000000"/>
        </w:rPr>
        <w:t xml:space="preserve"> На основании полученных данных сделан вывод о вкладе ограничений, вызванных высокой извилистостью пор композитных электродов, на снижение энергоемкости электродов </w:t>
      </w:r>
      <w:r w:rsidR="004776B4" w:rsidRPr="00EF49BA">
        <w:rPr>
          <w:color w:val="000000"/>
        </w:rPr>
        <w:t>Na</w:t>
      </w:r>
      <w:r w:rsidR="004776B4" w:rsidRPr="00C27064">
        <w:rPr>
          <w:color w:val="000000"/>
          <w:vertAlign w:val="subscript"/>
        </w:rPr>
        <w:t>3</w:t>
      </w:r>
      <w:r w:rsidR="004776B4" w:rsidRPr="00EF49BA">
        <w:rPr>
          <w:color w:val="000000"/>
        </w:rPr>
        <w:t>V</w:t>
      </w:r>
      <w:r w:rsidR="004776B4" w:rsidRPr="00C27064">
        <w:rPr>
          <w:color w:val="000000"/>
          <w:vertAlign w:val="subscript"/>
        </w:rPr>
        <w:t>2</w:t>
      </w:r>
      <w:r w:rsidR="004776B4" w:rsidRPr="00425E79">
        <w:rPr>
          <w:color w:val="000000"/>
        </w:rPr>
        <w:t>(</w:t>
      </w:r>
      <w:r w:rsidR="004776B4" w:rsidRPr="00EF49BA">
        <w:rPr>
          <w:color w:val="000000"/>
        </w:rPr>
        <w:t>PO</w:t>
      </w:r>
      <w:r w:rsidR="004776B4" w:rsidRPr="00C27064">
        <w:rPr>
          <w:color w:val="000000"/>
          <w:vertAlign w:val="subscript"/>
        </w:rPr>
        <w:t>4</w:t>
      </w:r>
      <w:r w:rsidR="004776B4" w:rsidRPr="00425E79">
        <w:rPr>
          <w:color w:val="000000"/>
        </w:rPr>
        <w:t>)</w:t>
      </w:r>
      <w:r w:rsidR="004776B4" w:rsidRPr="00C27064">
        <w:rPr>
          <w:color w:val="000000"/>
          <w:vertAlign w:val="subscript"/>
        </w:rPr>
        <w:t>3</w:t>
      </w:r>
      <w:r w:rsidR="004776B4" w:rsidRPr="00425E79">
        <w:rPr>
          <w:color w:val="000000"/>
        </w:rPr>
        <w:t>,</w:t>
      </w:r>
      <w:r w:rsidR="004776B4">
        <w:rPr>
          <w:color w:val="000000"/>
        </w:rPr>
        <w:t xml:space="preserve"> при </w:t>
      </w:r>
      <w:r w:rsidR="004776B4" w:rsidRPr="00734189">
        <w:rPr>
          <w:color w:val="000000"/>
        </w:rPr>
        <w:t>пониженных температурах.</w:t>
      </w:r>
    </w:p>
    <w:p w14:paraId="3E112B38" w14:textId="11DEAFAD" w:rsidR="0033610A" w:rsidRPr="00734189" w:rsidRDefault="0033610A" w:rsidP="0033610A">
      <w:pPr>
        <w:jc w:val="both"/>
        <w:rPr>
          <w:i/>
          <w:iCs/>
          <w:color w:val="000000"/>
        </w:rPr>
      </w:pPr>
      <w:r w:rsidRPr="00734189">
        <w:rPr>
          <w:i/>
          <w:iCs/>
          <w:color w:val="000000"/>
        </w:rPr>
        <w:t>Работа выполнена при поддержк</w:t>
      </w:r>
      <w:r w:rsidR="00734189">
        <w:rPr>
          <w:i/>
          <w:iCs/>
          <w:color w:val="000000"/>
        </w:rPr>
        <w:t>е</w:t>
      </w:r>
      <w:r w:rsidR="00734189" w:rsidRPr="00734189">
        <w:rPr>
          <w:i/>
          <w:iCs/>
          <w:color w:val="000000"/>
        </w:rPr>
        <w:t xml:space="preserve"> Р</w:t>
      </w:r>
      <w:bookmarkStart w:id="0" w:name="_GoBack"/>
      <w:bookmarkEnd w:id="0"/>
      <w:r w:rsidR="00734189" w:rsidRPr="00734189">
        <w:rPr>
          <w:i/>
          <w:iCs/>
          <w:color w:val="000000"/>
        </w:rPr>
        <w:t xml:space="preserve">НФ (Грант № </w:t>
      </w:r>
      <w:r w:rsidR="00734189" w:rsidRPr="00DD2772">
        <w:rPr>
          <w:i/>
          <w:iCs/>
          <w:color w:val="000000"/>
        </w:rPr>
        <w:t>23</w:t>
      </w:r>
      <w:r w:rsidR="00734189" w:rsidRPr="00734189">
        <w:rPr>
          <w:i/>
          <w:iCs/>
          <w:color w:val="000000"/>
        </w:rPr>
        <w:t>-13-00071).</w:t>
      </w:r>
    </w:p>
    <w:p w14:paraId="6645EEC7" w14:textId="21CA5FF6" w:rsidR="00D71AFF" w:rsidRPr="004776B4" w:rsidRDefault="00EF49BA" w:rsidP="00EF49BA">
      <w:pPr>
        <w:pBdr>
          <w:top w:val="nil"/>
          <w:left w:val="nil"/>
          <w:bottom w:val="nil"/>
          <w:right w:val="nil"/>
          <w:between w:val="nil"/>
        </w:pBdr>
        <w:shd w:val="clear" w:color="auto" w:fill="FFFFFF"/>
        <w:jc w:val="center"/>
        <w:rPr>
          <w:color w:val="000000"/>
          <w:lang w:val="en-AU"/>
        </w:rPr>
      </w:pPr>
      <w:r w:rsidRPr="00734189">
        <w:rPr>
          <w:b/>
          <w:color w:val="000000"/>
        </w:rPr>
        <w:t>Литература</w:t>
      </w:r>
    </w:p>
    <w:p w14:paraId="37B14155" w14:textId="10A66A8F" w:rsidR="00D71AFF" w:rsidRPr="00D71AFF" w:rsidRDefault="00D71AFF" w:rsidP="00D71AFF">
      <w:pPr>
        <w:pBdr>
          <w:top w:val="nil"/>
          <w:left w:val="nil"/>
          <w:bottom w:val="nil"/>
          <w:right w:val="nil"/>
          <w:between w:val="nil"/>
        </w:pBdr>
        <w:shd w:val="clear" w:color="auto" w:fill="FFFFFF"/>
        <w:jc w:val="both"/>
        <w:rPr>
          <w:color w:val="000000"/>
          <w:lang w:val="en-US"/>
        </w:rPr>
      </w:pPr>
      <w:r w:rsidRPr="00D71AFF">
        <w:rPr>
          <w:color w:val="000000"/>
          <w:lang w:val="en-US"/>
        </w:rPr>
        <w:t>1.</w:t>
      </w:r>
      <w:r>
        <w:rPr>
          <w:color w:val="000000"/>
          <w:lang w:val="en-US"/>
        </w:rPr>
        <w:t xml:space="preserve"> </w:t>
      </w:r>
      <w:r w:rsidRPr="00D71AFF">
        <w:rPr>
          <w:color w:val="000000"/>
          <w:lang w:val="en-US"/>
        </w:rPr>
        <w:t>Hamed H.</w:t>
      </w:r>
      <w:r>
        <w:rPr>
          <w:color w:val="000000"/>
          <w:lang w:val="en-US"/>
        </w:rPr>
        <w:t xml:space="preserve">, Henderick L., </w:t>
      </w:r>
      <w:r w:rsidRPr="00D71AFF">
        <w:rPr>
          <w:color w:val="000000"/>
          <w:lang w:val="en-US"/>
        </w:rPr>
        <w:t>Choobar</w:t>
      </w:r>
      <w:r>
        <w:rPr>
          <w:color w:val="000000"/>
          <w:lang w:val="en-US"/>
        </w:rPr>
        <w:t xml:space="preserve"> B. G., </w:t>
      </w:r>
      <w:r w:rsidRPr="00D71AFF">
        <w:rPr>
          <w:color w:val="000000"/>
          <w:lang w:val="en-US"/>
        </w:rPr>
        <w:t>D'Haen</w:t>
      </w:r>
      <w:r>
        <w:rPr>
          <w:color w:val="000000"/>
          <w:lang w:val="en-US"/>
        </w:rPr>
        <w:t xml:space="preserve"> J., </w:t>
      </w:r>
      <w:r w:rsidRPr="00D71AFF">
        <w:rPr>
          <w:color w:val="000000"/>
          <w:lang w:val="en-US"/>
        </w:rPr>
        <w:t xml:space="preserve">Detavernier </w:t>
      </w:r>
      <w:r>
        <w:rPr>
          <w:color w:val="000000"/>
          <w:lang w:val="en-US"/>
        </w:rPr>
        <w:t xml:space="preserve">C., </w:t>
      </w:r>
      <w:r w:rsidR="00AD77C6">
        <w:rPr>
          <w:color w:val="000000"/>
          <w:lang w:val="en-US"/>
        </w:rPr>
        <w:t xml:space="preserve">Hardy A., </w:t>
      </w:r>
      <w:r w:rsidR="00AD77C6" w:rsidRPr="00D71AFF">
        <w:rPr>
          <w:color w:val="000000"/>
          <w:lang w:val="en-US"/>
        </w:rPr>
        <w:t xml:space="preserve">Safari </w:t>
      </w:r>
      <w:r w:rsidR="00AD77C6">
        <w:rPr>
          <w:color w:val="000000"/>
          <w:lang w:val="en-US"/>
        </w:rPr>
        <w:t xml:space="preserve">M. </w:t>
      </w:r>
      <w:r w:rsidRPr="00D71AFF">
        <w:rPr>
          <w:color w:val="000000"/>
          <w:lang w:val="en-US"/>
        </w:rPr>
        <w:t xml:space="preserve">A limitation map of performance for porous electrodes in lithium-ion batteries // iScience. The </w:t>
      </w:r>
      <w:r w:rsidRPr="00D71AFF">
        <w:rPr>
          <w:color w:val="000000"/>
          <w:lang w:val="en-US"/>
        </w:rPr>
        <w:t>Author(s), 2021. Vol. 24, № 12. P. 103496.</w:t>
      </w:r>
    </w:p>
    <w:p w14:paraId="2624397D" w14:textId="19B7053A" w:rsidR="00D71AFF" w:rsidRPr="00D71AFF" w:rsidRDefault="00D71AFF" w:rsidP="00D71AFF">
      <w:pPr>
        <w:pBdr>
          <w:top w:val="nil"/>
          <w:left w:val="nil"/>
          <w:bottom w:val="nil"/>
          <w:right w:val="nil"/>
          <w:between w:val="nil"/>
        </w:pBdr>
        <w:shd w:val="clear" w:color="auto" w:fill="FFFFFF"/>
        <w:jc w:val="both"/>
        <w:rPr>
          <w:color w:val="000000"/>
          <w:lang w:val="en-US"/>
        </w:rPr>
      </w:pPr>
      <w:r>
        <w:rPr>
          <w:color w:val="000000"/>
          <w:lang w:val="en-US"/>
        </w:rPr>
        <w:t xml:space="preserve">2. </w:t>
      </w:r>
      <w:r w:rsidR="00AD77C6">
        <w:rPr>
          <w:color w:val="000000"/>
          <w:lang w:val="en-US"/>
        </w:rPr>
        <w:t>Zhu Y., Xu H., Ma J.</w:t>
      </w:r>
      <w:r w:rsidR="00AD77C6" w:rsidRPr="009E424F">
        <w:rPr>
          <w:color w:val="000000"/>
          <w:lang w:val="en-US"/>
        </w:rPr>
        <w:t>, C</w:t>
      </w:r>
      <w:r w:rsidR="00AD77C6">
        <w:rPr>
          <w:color w:val="000000"/>
          <w:lang w:val="en-US"/>
        </w:rPr>
        <w:t>hen P.</w:t>
      </w:r>
      <w:r w:rsidR="00AD77C6" w:rsidRPr="009E424F">
        <w:rPr>
          <w:color w:val="000000"/>
          <w:lang w:val="en-US"/>
        </w:rPr>
        <w:t xml:space="preserve">, </w:t>
      </w:r>
      <w:r w:rsidR="00AD77C6">
        <w:rPr>
          <w:color w:val="000000"/>
          <w:lang w:val="en-US"/>
        </w:rPr>
        <w:t>Chen Y.</w:t>
      </w:r>
      <w:r w:rsidRPr="00D71AFF">
        <w:rPr>
          <w:color w:val="000000"/>
          <w:lang w:val="en-US"/>
        </w:rPr>
        <w:t xml:space="preserve"> The recent advances of NASICON-Na3V2(PO4)3 cathode materials for sodium-ion batteries // J. Solid State Chem. 2023. Vol. 317,</w:t>
      </w:r>
      <w:r w:rsidR="00EA7AAD" w:rsidRPr="002736E2">
        <w:rPr>
          <w:color w:val="000000"/>
          <w:lang w:val="en-US"/>
        </w:rPr>
        <w:t xml:space="preserve"> </w:t>
      </w:r>
      <w:r w:rsidR="00EA7AAD">
        <w:rPr>
          <w:color w:val="000000"/>
          <w:lang w:val="en-US"/>
        </w:rPr>
        <w:t>P. 123669.</w:t>
      </w:r>
    </w:p>
    <w:p w14:paraId="4734CD2A" w14:textId="774E6DE6" w:rsidR="00580B21" w:rsidRPr="008F25CB" w:rsidRDefault="00D71AFF" w:rsidP="00EF49BA">
      <w:pPr>
        <w:pBdr>
          <w:top w:val="nil"/>
          <w:left w:val="nil"/>
          <w:bottom w:val="nil"/>
          <w:right w:val="nil"/>
          <w:between w:val="nil"/>
        </w:pBdr>
        <w:shd w:val="clear" w:color="auto" w:fill="FFFFFF"/>
        <w:jc w:val="both"/>
        <w:rPr>
          <w:color w:val="000000"/>
          <w:lang w:val="en-AU"/>
        </w:rPr>
      </w:pPr>
      <w:r>
        <w:rPr>
          <w:color w:val="000000"/>
          <w:lang w:val="en-US"/>
        </w:rPr>
        <w:t xml:space="preserve">3. </w:t>
      </w:r>
      <w:r w:rsidRPr="00D71AFF">
        <w:rPr>
          <w:color w:val="000000"/>
          <w:lang w:val="en-US"/>
        </w:rPr>
        <w:t>Wang W., Juarez-Robles D., Mukherjee P.P. Electroanalytical Quantification of Electrolyte Transport Resistance in Porous Electrodes // J. Electrochem. Soc</w:t>
      </w:r>
      <w:r w:rsidRPr="00EA7AAD">
        <w:rPr>
          <w:color w:val="000000"/>
          <w:lang w:val="en-AU"/>
        </w:rPr>
        <w:t xml:space="preserve">. 2020. </w:t>
      </w:r>
      <w:r w:rsidRPr="00D71AFF">
        <w:rPr>
          <w:color w:val="000000"/>
          <w:lang w:val="en-US"/>
        </w:rPr>
        <w:t>Vol</w:t>
      </w:r>
      <w:r w:rsidRPr="008F25CB">
        <w:rPr>
          <w:color w:val="000000"/>
          <w:lang w:val="en-AU"/>
        </w:rPr>
        <w:t xml:space="preserve">. 167, № 8. </w:t>
      </w:r>
      <w:r w:rsidRPr="00D71AFF">
        <w:rPr>
          <w:color w:val="000000"/>
          <w:lang w:val="en-US"/>
        </w:rPr>
        <w:t>P</w:t>
      </w:r>
      <w:r w:rsidRPr="008F25CB">
        <w:rPr>
          <w:color w:val="000000"/>
          <w:lang w:val="en-AU"/>
        </w:rPr>
        <w:t>. 080510.</w:t>
      </w:r>
    </w:p>
    <w:sectPr w:rsidR="00580B21" w:rsidRPr="008F25CB">
      <w:pgSz w:w="11906" w:h="16838"/>
      <w:pgMar w:top="1134" w:right="1361" w:bottom="1134" w:left="1361" w:header="709" w:footer="709" w:gutter="0"/>
      <w:pgNumType w:start="1"/>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48961E1F" w16cex:dateUtc="2024-02-15T13: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70BFD5ED" w16cid:durableId="48961E1F"/>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2437A4" w14:textId="77777777" w:rsidR="00B9744B" w:rsidRDefault="00B9744B" w:rsidP="00580B21">
      <w:r>
        <w:separator/>
      </w:r>
    </w:p>
  </w:endnote>
  <w:endnote w:type="continuationSeparator" w:id="0">
    <w:p w14:paraId="4A1C7A06" w14:textId="77777777" w:rsidR="00B9744B" w:rsidRDefault="00B9744B" w:rsidP="00580B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BBC541" w14:textId="77777777" w:rsidR="00B9744B" w:rsidRDefault="00B9744B" w:rsidP="00580B21">
      <w:r>
        <w:separator/>
      </w:r>
    </w:p>
  </w:footnote>
  <w:footnote w:type="continuationSeparator" w:id="0">
    <w:p w14:paraId="020C594E" w14:textId="77777777" w:rsidR="00B9744B" w:rsidRDefault="00B9744B" w:rsidP="00580B2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1720403"/>
    <w:multiLevelType w:val="hybridMultilevel"/>
    <w:tmpl w:val="17185242"/>
    <w:lvl w:ilvl="0" w:tplc="04190001">
      <w:start w:val="1"/>
      <w:numFmt w:val="bullet"/>
      <w:lvlText w:val=""/>
      <w:lvlJc w:val="left"/>
      <w:pPr>
        <w:ind w:left="1117" w:hanging="360"/>
      </w:pPr>
      <w:rPr>
        <w:rFonts w:ascii="Symbol" w:hAnsi="Symbol" w:hint="default"/>
      </w:rPr>
    </w:lvl>
    <w:lvl w:ilvl="1" w:tplc="04190003" w:tentative="1">
      <w:start w:val="1"/>
      <w:numFmt w:val="bullet"/>
      <w:lvlText w:val="o"/>
      <w:lvlJc w:val="left"/>
      <w:pPr>
        <w:ind w:left="1837" w:hanging="360"/>
      </w:pPr>
      <w:rPr>
        <w:rFonts w:ascii="Courier New" w:hAnsi="Courier New" w:cs="Courier New" w:hint="default"/>
      </w:rPr>
    </w:lvl>
    <w:lvl w:ilvl="2" w:tplc="04190005" w:tentative="1">
      <w:start w:val="1"/>
      <w:numFmt w:val="bullet"/>
      <w:lvlText w:val=""/>
      <w:lvlJc w:val="left"/>
      <w:pPr>
        <w:ind w:left="2557" w:hanging="360"/>
      </w:pPr>
      <w:rPr>
        <w:rFonts w:ascii="Wingdings" w:hAnsi="Wingdings" w:hint="default"/>
      </w:rPr>
    </w:lvl>
    <w:lvl w:ilvl="3" w:tplc="04190001" w:tentative="1">
      <w:start w:val="1"/>
      <w:numFmt w:val="bullet"/>
      <w:lvlText w:val=""/>
      <w:lvlJc w:val="left"/>
      <w:pPr>
        <w:ind w:left="3277" w:hanging="360"/>
      </w:pPr>
      <w:rPr>
        <w:rFonts w:ascii="Symbol" w:hAnsi="Symbol" w:hint="default"/>
      </w:rPr>
    </w:lvl>
    <w:lvl w:ilvl="4" w:tplc="04190003" w:tentative="1">
      <w:start w:val="1"/>
      <w:numFmt w:val="bullet"/>
      <w:lvlText w:val="o"/>
      <w:lvlJc w:val="left"/>
      <w:pPr>
        <w:ind w:left="3997" w:hanging="360"/>
      </w:pPr>
      <w:rPr>
        <w:rFonts w:ascii="Courier New" w:hAnsi="Courier New" w:cs="Courier New" w:hint="default"/>
      </w:rPr>
    </w:lvl>
    <w:lvl w:ilvl="5" w:tplc="04190005" w:tentative="1">
      <w:start w:val="1"/>
      <w:numFmt w:val="bullet"/>
      <w:lvlText w:val=""/>
      <w:lvlJc w:val="left"/>
      <w:pPr>
        <w:ind w:left="4717" w:hanging="360"/>
      </w:pPr>
      <w:rPr>
        <w:rFonts w:ascii="Wingdings" w:hAnsi="Wingdings" w:hint="default"/>
      </w:rPr>
    </w:lvl>
    <w:lvl w:ilvl="6" w:tplc="04190001" w:tentative="1">
      <w:start w:val="1"/>
      <w:numFmt w:val="bullet"/>
      <w:lvlText w:val=""/>
      <w:lvlJc w:val="left"/>
      <w:pPr>
        <w:ind w:left="5437" w:hanging="360"/>
      </w:pPr>
      <w:rPr>
        <w:rFonts w:ascii="Symbol" w:hAnsi="Symbol" w:hint="default"/>
      </w:rPr>
    </w:lvl>
    <w:lvl w:ilvl="7" w:tplc="04190003" w:tentative="1">
      <w:start w:val="1"/>
      <w:numFmt w:val="bullet"/>
      <w:lvlText w:val="o"/>
      <w:lvlJc w:val="left"/>
      <w:pPr>
        <w:ind w:left="6157" w:hanging="360"/>
      </w:pPr>
      <w:rPr>
        <w:rFonts w:ascii="Courier New" w:hAnsi="Courier New" w:cs="Courier New" w:hint="default"/>
      </w:rPr>
    </w:lvl>
    <w:lvl w:ilvl="8" w:tplc="04190005" w:tentative="1">
      <w:start w:val="1"/>
      <w:numFmt w:val="bullet"/>
      <w:lvlText w:val=""/>
      <w:lvlJc w:val="left"/>
      <w:pPr>
        <w:ind w:left="6877" w:hanging="360"/>
      </w:pPr>
      <w:rPr>
        <w:rFonts w:ascii="Wingdings" w:hAnsi="Wingdings" w:hint="default"/>
      </w:rPr>
    </w:lvl>
  </w:abstractNum>
  <w:abstractNum w:abstractNumId="1" w15:restartNumberingAfterBreak="0">
    <w:nsid w:val="7B8D3501"/>
    <w:multiLevelType w:val="hybridMultilevel"/>
    <w:tmpl w:val="8E12E0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0241"/>
    <w:rsid w:val="0001291F"/>
    <w:rsid w:val="0005601B"/>
    <w:rsid w:val="00063966"/>
    <w:rsid w:val="00086081"/>
    <w:rsid w:val="000E62F3"/>
    <w:rsid w:val="00101A1C"/>
    <w:rsid w:val="00106375"/>
    <w:rsid w:val="00116478"/>
    <w:rsid w:val="00130241"/>
    <w:rsid w:val="00156927"/>
    <w:rsid w:val="001718E1"/>
    <w:rsid w:val="00171B10"/>
    <w:rsid w:val="00181C15"/>
    <w:rsid w:val="001D5A5F"/>
    <w:rsid w:val="001E61C2"/>
    <w:rsid w:val="001F0493"/>
    <w:rsid w:val="0020139A"/>
    <w:rsid w:val="002264EE"/>
    <w:rsid w:val="0023307C"/>
    <w:rsid w:val="0024034C"/>
    <w:rsid w:val="002736E2"/>
    <w:rsid w:val="002B66AD"/>
    <w:rsid w:val="002F5CF0"/>
    <w:rsid w:val="0031361E"/>
    <w:rsid w:val="0033610A"/>
    <w:rsid w:val="00345636"/>
    <w:rsid w:val="00347414"/>
    <w:rsid w:val="0035648B"/>
    <w:rsid w:val="00391C38"/>
    <w:rsid w:val="003B76D6"/>
    <w:rsid w:val="003F1568"/>
    <w:rsid w:val="00413DF8"/>
    <w:rsid w:val="00425E79"/>
    <w:rsid w:val="00472F13"/>
    <w:rsid w:val="004776B4"/>
    <w:rsid w:val="00495760"/>
    <w:rsid w:val="004976B9"/>
    <w:rsid w:val="004A26A3"/>
    <w:rsid w:val="004C5A85"/>
    <w:rsid w:val="004F0EDF"/>
    <w:rsid w:val="00507D67"/>
    <w:rsid w:val="00522BF1"/>
    <w:rsid w:val="005241BF"/>
    <w:rsid w:val="00570F05"/>
    <w:rsid w:val="00580B21"/>
    <w:rsid w:val="00590166"/>
    <w:rsid w:val="005B048C"/>
    <w:rsid w:val="005F1C12"/>
    <w:rsid w:val="00602B49"/>
    <w:rsid w:val="00612AC1"/>
    <w:rsid w:val="006214C7"/>
    <w:rsid w:val="00684B90"/>
    <w:rsid w:val="0069427D"/>
    <w:rsid w:val="006A47BB"/>
    <w:rsid w:val="006D0A2A"/>
    <w:rsid w:val="006F0003"/>
    <w:rsid w:val="006F7A19"/>
    <w:rsid w:val="0070118D"/>
    <w:rsid w:val="00711658"/>
    <w:rsid w:val="00734189"/>
    <w:rsid w:val="007653F2"/>
    <w:rsid w:val="00775389"/>
    <w:rsid w:val="00797838"/>
    <w:rsid w:val="007A71C5"/>
    <w:rsid w:val="007C36D8"/>
    <w:rsid w:val="007D75B8"/>
    <w:rsid w:val="007F2744"/>
    <w:rsid w:val="008048A6"/>
    <w:rsid w:val="00822F82"/>
    <w:rsid w:val="008931BE"/>
    <w:rsid w:val="008B170E"/>
    <w:rsid w:val="008B55CD"/>
    <w:rsid w:val="008F212D"/>
    <w:rsid w:val="008F25CB"/>
    <w:rsid w:val="00921D45"/>
    <w:rsid w:val="00923074"/>
    <w:rsid w:val="00927EEA"/>
    <w:rsid w:val="00941A2C"/>
    <w:rsid w:val="009557B8"/>
    <w:rsid w:val="009A2958"/>
    <w:rsid w:val="009A66DB"/>
    <w:rsid w:val="009B2F80"/>
    <w:rsid w:val="009B3300"/>
    <w:rsid w:val="009E424F"/>
    <w:rsid w:val="009F3380"/>
    <w:rsid w:val="00A02163"/>
    <w:rsid w:val="00A159FE"/>
    <w:rsid w:val="00A314FE"/>
    <w:rsid w:val="00A3734B"/>
    <w:rsid w:val="00A449AD"/>
    <w:rsid w:val="00AB118A"/>
    <w:rsid w:val="00AD77C6"/>
    <w:rsid w:val="00AF3DE4"/>
    <w:rsid w:val="00B048B3"/>
    <w:rsid w:val="00B16AB5"/>
    <w:rsid w:val="00B3577D"/>
    <w:rsid w:val="00B771A5"/>
    <w:rsid w:val="00B856A1"/>
    <w:rsid w:val="00B85E62"/>
    <w:rsid w:val="00B9618E"/>
    <w:rsid w:val="00B9744B"/>
    <w:rsid w:val="00BD27D9"/>
    <w:rsid w:val="00BF36F8"/>
    <w:rsid w:val="00BF4622"/>
    <w:rsid w:val="00C060EA"/>
    <w:rsid w:val="00C5475C"/>
    <w:rsid w:val="00CA7B96"/>
    <w:rsid w:val="00CB1996"/>
    <w:rsid w:val="00CC4A37"/>
    <w:rsid w:val="00CD00B1"/>
    <w:rsid w:val="00D22306"/>
    <w:rsid w:val="00D42542"/>
    <w:rsid w:val="00D71AFF"/>
    <w:rsid w:val="00D739AB"/>
    <w:rsid w:val="00D74237"/>
    <w:rsid w:val="00D8121C"/>
    <w:rsid w:val="00DC309E"/>
    <w:rsid w:val="00DD22FA"/>
    <w:rsid w:val="00DE7111"/>
    <w:rsid w:val="00DE7A21"/>
    <w:rsid w:val="00E15A82"/>
    <w:rsid w:val="00E22189"/>
    <w:rsid w:val="00E27293"/>
    <w:rsid w:val="00E31AB6"/>
    <w:rsid w:val="00E60B9C"/>
    <w:rsid w:val="00E622E4"/>
    <w:rsid w:val="00E66A98"/>
    <w:rsid w:val="00E74069"/>
    <w:rsid w:val="00E828A6"/>
    <w:rsid w:val="00E93C72"/>
    <w:rsid w:val="00EA7AAD"/>
    <w:rsid w:val="00EB1F49"/>
    <w:rsid w:val="00ED3F67"/>
    <w:rsid w:val="00EF49BA"/>
    <w:rsid w:val="00F06613"/>
    <w:rsid w:val="00F16928"/>
    <w:rsid w:val="00F865B3"/>
    <w:rsid w:val="00FB1509"/>
    <w:rsid w:val="00FF19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5DB487"/>
  <w15:docId w15:val="{F466CFF6-BC4D-9043-8BD8-5B9D73987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1C38"/>
    <w:rPr>
      <w:rFonts w:ascii="Times New Roman" w:eastAsia="Times New Roman" w:hAnsi="Times New Roman" w:cs="Times New Roman"/>
      <w:sz w:val="24"/>
      <w:szCs w:val="24"/>
    </w:rPr>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paragraph" w:styleId="a5">
    <w:name w:val="List Paragraph"/>
    <w:basedOn w:val="a"/>
    <w:link w:val="a6"/>
    <w:uiPriority w:val="34"/>
    <w:qFormat/>
    <w:rsid w:val="00106375"/>
    <w:pPr>
      <w:ind w:left="720"/>
      <w:contextualSpacing/>
    </w:pPr>
  </w:style>
  <w:style w:type="character" w:customStyle="1" w:styleId="a6">
    <w:name w:val="Абзац списка Знак"/>
    <w:basedOn w:val="a0"/>
    <w:link w:val="a5"/>
    <w:uiPriority w:val="34"/>
    <w:locked/>
    <w:rsid w:val="004A26A3"/>
  </w:style>
  <w:style w:type="character" w:styleId="a7">
    <w:name w:val="Placeholder Text"/>
    <w:basedOn w:val="a0"/>
    <w:uiPriority w:val="99"/>
    <w:semiHidden/>
    <w:rsid w:val="00E22189"/>
    <w:rPr>
      <w:color w:val="808080"/>
    </w:rPr>
  </w:style>
  <w:style w:type="paragraph" w:styleId="a8">
    <w:name w:val="No Spacing"/>
    <w:uiPriority w:val="1"/>
    <w:qFormat/>
    <w:rsid w:val="00FF1903"/>
    <w:rPr>
      <w:rFonts w:cs="Times New Roman"/>
      <w:sz w:val="22"/>
      <w:szCs w:val="22"/>
      <w:lang w:val="en-US" w:eastAsia="en-US" w:bidi="en-US"/>
    </w:rPr>
  </w:style>
  <w:style w:type="character" w:styleId="a9">
    <w:name w:val="Hyperlink"/>
    <w:basedOn w:val="a0"/>
    <w:uiPriority w:val="99"/>
    <w:unhideWhenUsed/>
    <w:rsid w:val="00F865B3"/>
    <w:rPr>
      <w:color w:val="0000FF" w:themeColor="hyperlink"/>
      <w:u w:val="single"/>
    </w:rPr>
  </w:style>
  <w:style w:type="character" w:customStyle="1" w:styleId="10">
    <w:name w:val="Неразрешенное упоминание1"/>
    <w:basedOn w:val="a0"/>
    <w:uiPriority w:val="99"/>
    <w:semiHidden/>
    <w:unhideWhenUsed/>
    <w:rsid w:val="00F865B3"/>
    <w:rPr>
      <w:color w:val="605E5C"/>
      <w:shd w:val="clear" w:color="auto" w:fill="E1DFDD"/>
    </w:rPr>
  </w:style>
  <w:style w:type="paragraph" w:styleId="aa">
    <w:name w:val="caption"/>
    <w:basedOn w:val="a"/>
    <w:next w:val="a"/>
    <w:uiPriority w:val="35"/>
    <w:unhideWhenUsed/>
    <w:qFormat/>
    <w:rsid w:val="002B66AD"/>
    <w:pPr>
      <w:spacing w:after="200"/>
    </w:pPr>
    <w:rPr>
      <w:i/>
      <w:iCs/>
      <w:color w:val="1F497D" w:themeColor="text2"/>
      <w:sz w:val="18"/>
      <w:szCs w:val="18"/>
    </w:rPr>
  </w:style>
  <w:style w:type="character" w:styleId="ab">
    <w:name w:val="annotation reference"/>
    <w:basedOn w:val="a0"/>
    <w:uiPriority w:val="99"/>
    <w:semiHidden/>
    <w:unhideWhenUsed/>
    <w:rsid w:val="006F0003"/>
    <w:rPr>
      <w:sz w:val="16"/>
      <w:szCs w:val="16"/>
    </w:rPr>
  </w:style>
  <w:style w:type="paragraph" w:styleId="ac">
    <w:name w:val="annotation text"/>
    <w:basedOn w:val="a"/>
    <w:link w:val="ad"/>
    <w:uiPriority w:val="99"/>
    <w:semiHidden/>
    <w:unhideWhenUsed/>
    <w:rsid w:val="006F0003"/>
    <w:rPr>
      <w:sz w:val="20"/>
      <w:szCs w:val="20"/>
    </w:rPr>
  </w:style>
  <w:style w:type="character" w:customStyle="1" w:styleId="ad">
    <w:name w:val="Текст примечания Знак"/>
    <w:basedOn w:val="a0"/>
    <w:link w:val="ac"/>
    <w:uiPriority w:val="99"/>
    <w:semiHidden/>
    <w:rsid w:val="006F0003"/>
    <w:rPr>
      <w:rFonts w:ascii="Times New Roman" w:eastAsia="Times New Roman" w:hAnsi="Times New Roman" w:cs="Times New Roman"/>
    </w:rPr>
  </w:style>
  <w:style w:type="paragraph" w:styleId="ae">
    <w:name w:val="annotation subject"/>
    <w:basedOn w:val="ac"/>
    <w:next w:val="ac"/>
    <w:link w:val="af"/>
    <w:uiPriority w:val="99"/>
    <w:semiHidden/>
    <w:unhideWhenUsed/>
    <w:rsid w:val="006F0003"/>
    <w:rPr>
      <w:b/>
      <w:bCs/>
    </w:rPr>
  </w:style>
  <w:style w:type="character" w:customStyle="1" w:styleId="af">
    <w:name w:val="Тема примечания Знак"/>
    <w:basedOn w:val="ad"/>
    <w:link w:val="ae"/>
    <w:uiPriority w:val="99"/>
    <w:semiHidden/>
    <w:rsid w:val="006F0003"/>
    <w:rPr>
      <w:rFonts w:ascii="Times New Roman" w:eastAsia="Times New Roman" w:hAnsi="Times New Roman" w:cs="Times New Roman"/>
      <w:b/>
      <w:bCs/>
    </w:rPr>
  </w:style>
  <w:style w:type="paragraph" w:styleId="af0">
    <w:name w:val="Balloon Text"/>
    <w:basedOn w:val="a"/>
    <w:link w:val="af1"/>
    <w:uiPriority w:val="99"/>
    <w:semiHidden/>
    <w:unhideWhenUsed/>
    <w:rsid w:val="006F0003"/>
    <w:rPr>
      <w:rFonts w:ascii="Segoe UI" w:hAnsi="Segoe UI" w:cs="Segoe UI"/>
      <w:sz w:val="18"/>
      <w:szCs w:val="18"/>
    </w:rPr>
  </w:style>
  <w:style w:type="character" w:customStyle="1" w:styleId="af1">
    <w:name w:val="Текст выноски Знак"/>
    <w:basedOn w:val="a0"/>
    <w:link w:val="af0"/>
    <w:uiPriority w:val="99"/>
    <w:semiHidden/>
    <w:rsid w:val="006F0003"/>
    <w:rPr>
      <w:rFonts w:ascii="Segoe UI" w:eastAsia="Times New Roman" w:hAnsi="Segoe UI" w:cs="Segoe UI"/>
      <w:sz w:val="18"/>
      <w:szCs w:val="18"/>
    </w:rPr>
  </w:style>
  <w:style w:type="paragraph" w:styleId="af2">
    <w:name w:val="footnote text"/>
    <w:basedOn w:val="a"/>
    <w:link w:val="af3"/>
    <w:uiPriority w:val="99"/>
    <w:semiHidden/>
    <w:unhideWhenUsed/>
    <w:rsid w:val="00580B21"/>
    <w:rPr>
      <w:sz w:val="20"/>
      <w:szCs w:val="20"/>
    </w:rPr>
  </w:style>
  <w:style w:type="character" w:customStyle="1" w:styleId="af3">
    <w:name w:val="Текст сноски Знак"/>
    <w:basedOn w:val="a0"/>
    <w:link w:val="af2"/>
    <w:uiPriority w:val="99"/>
    <w:semiHidden/>
    <w:rsid w:val="00580B21"/>
    <w:rPr>
      <w:rFonts w:ascii="Times New Roman" w:eastAsia="Times New Roman" w:hAnsi="Times New Roman" w:cs="Times New Roman"/>
    </w:rPr>
  </w:style>
  <w:style w:type="character" w:styleId="af4">
    <w:name w:val="footnote reference"/>
    <w:basedOn w:val="a0"/>
    <w:uiPriority w:val="99"/>
    <w:semiHidden/>
    <w:unhideWhenUsed/>
    <w:rsid w:val="00580B21"/>
    <w:rPr>
      <w:vertAlign w:val="superscript"/>
    </w:rPr>
  </w:style>
  <w:style w:type="paragraph" w:styleId="af5">
    <w:name w:val="Normal (Web)"/>
    <w:basedOn w:val="a"/>
    <w:uiPriority w:val="99"/>
    <w:semiHidden/>
    <w:unhideWhenUsed/>
    <w:rsid w:val="00580B21"/>
    <w:pPr>
      <w:spacing w:before="100" w:beforeAutospacing="1" w:after="100" w:afterAutospacing="1"/>
    </w:pPr>
  </w:style>
  <w:style w:type="paragraph" w:styleId="af6">
    <w:name w:val="Revision"/>
    <w:hidden/>
    <w:uiPriority w:val="99"/>
    <w:semiHidden/>
    <w:rsid w:val="004776B4"/>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3931042">
      <w:bodyDiv w:val="1"/>
      <w:marLeft w:val="0"/>
      <w:marRight w:val="0"/>
      <w:marTop w:val="0"/>
      <w:marBottom w:val="0"/>
      <w:divBdr>
        <w:top w:val="none" w:sz="0" w:space="0" w:color="auto"/>
        <w:left w:val="none" w:sz="0" w:space="0" w:color="auto"/>
        <w:bottom w:val="none" w:sz="0" w:space="0" w:color="auto"/>
        <w:right w:val="none" w:sz="0" w:space="0" w:color="auto"/>
      </w:divBdr>
    </w:div>
    <w:div w:id="822890012">
      <w:bodyDiv w:val="1"/>
      <w:marLeft w:val="0"/>
      <w:marRight w:val="0"/>
      <w:marTop w:val="0"/>
      <w:marBottom w:val="0"/>
      <w:divBdr>
        <w:top w:val="none" w:sz="0" w:space="0" w:color="auto"/>
        <w:left w:val="none" w:sz="0" w:space="0" w:color="auto"/>
        <w:bottom w:val="none" w:sz="0" w:space="0" w:color="auto"/>
        <w:right w:val="none" w:sz="0" w:space="0" w:color="auto"/>
      </w:divBdr>
    </w:div>
    <w:div w:id="829056986">
      <w:bodyDiv w:val="1"/>
      <w:marLeft w:val="0"/>
      <w:marRight w:val="0"/>
      <w:marTop w:val="0"/>
      <w:marBottom w:val="0"/>
      <w:divBdr>
        <w:top w:val="none" w:sz="0" w:space="0" w:color="auto"/>
        <w:left w:val="none" w:sz="0" w:space="0" w:color="auto"/>
        <w:bottom w:val="none" w:sz="0" w:space="0" w:color="auto"/>
        <w:right w:val="none" w:sz="0" w:space="0" w:color="auto"/>
      </w:divBdr>
    </w:div>
    <w:div w:id="924071294">
      <w:bodyDiv w:val="1"/>
      <w:marLeft w:val="0"/>
      <w:marRight w:val="0"/>
      <w:marTop w:val="0"/>
      <w:marBottom w:val="0"/>
      <w:divBdr>
        <w:top w:val="none" w:sz="0" w:space="0" w:color="auto"/>
        <w:left w:val="none" w:sz="0" w:space="0" w:color="auto"/>
        <w:bottom w:val="none" w:sz="0" w:space="0" w:color="auto"/>
        <w:right w:val="none" w:sz="0" w:space="0" w:color="auto"/>
      </w:divBdr>
    </w:div>
    <w:div w:id="1149976338">
      <w:bodyDiv w:val="1"/>
      <w:marLeft w:val="0"/>
      <w:marRight w:val="0"/>
      <w:marTop w:val="0"/>
      <w:marBottom w:val="0"/>
      <w:divBdr>
        <w:top w:val="none" w:sz="0" w:space="0" w:color="auto"/>
        <w:left w:val="none" w:sz="0" w:space="0" w:color="auto"/>
        <w:bottom w:val="none" w:sz="0" w:space="0" w:color="auto"/>
        <w:right w:val="none" w:sz="0" w:space="0" w:color="auto"/>
      </w:divBdr>
    </w:div>
    <w:div w:id="1416509777">
      <w:bodyDiv w:val="1"/>
      <w:marLeft w:val="0"/>
      <w:marRight w:val="0"/>
      <w:marTop w:val="0"/>
      <w:marBottom w:val="0"/>
      <w:divBdr>
        <w:top w:val="none" w:sz="0" w:space="0" w:color="auto"/>
        <w:left w:val="none" w:sz="0" w:space="0" w:color="auto"/>
        <w:bottom w:val="none" w:sz="0" w:space="0" w:color="auto"/>
        <w:right w:val="none" w:sz="0" w:space="0" w:color="auto"/>
      </w:divBdr>
    </w:div>
    <w:div w:id="1418793259">
      <w:bodyDiv w:val="1"/>
      <w:marLeft w:val="0"/>
      <w:marRight w:val="0"/>
      <w:marTop w:val="0"/>
      <w:marBottom w:val="0"/>
      <w:divBdr>
        <w:top w:val="none" w:sz="0" w:space="0" w:color="auto"/>
        <w:left w:val="none" w:sz="0" w:space="0" w:color="auto"/>
        <w:bottom w:val="none" w:sz="0" w:space="0" w:color="auto"/>
        <w:right w:val="none" w:sz="0" w:space="0" w:color="auto"/>
      </w:divBdr>
    </w:div>
    <w:div w:id="1488132862">
      <w:bodyDiv w:val="1"/>
      <w:marLeft w:val="0"/>
      <w:marRight w:val="0"/>
      <w:marTop w:val="0"/>
      <w:marBottom w:val="0"/>
      <w:divBdr>
        <w:top w:val="none" w:sz="0" w:space="0" w:color="auto"/>
        <w:left w:val="none" w:sz="0" w:space="0" w:color="auto"/>
        <w:bottom w:val="none" w:sz="0" w:space="0" w:color="auto"/>
        <w:right w:val="none" w:sz="0" w:space="0" w:color="auto"/>
      </w:divBdr>
    </w:div>
    <w:div w:id="1752579491">
      <w:bodyDiv w:val="1"/>
      <w:marLeft w:val="0"/>
      <w:marRight w:val="0"/>
      <w:marTop w:val="0"/>
      <w:marBottom w:val="0"/>
      <w:divBdr>
        <w:top w:val="none" w:sz="0" w:space="0" w:color="auto"/>
        <w:left w:val="none" w:sz="0" w:space="0" w:color="auto"/>
        <w:bottom w:val="none" w:sz="0" w:space="0" w:color="auto"/>
        <w:right w:val="none" w:sz="0" w:space="0" w:color="auto"/>
      </w:divBdr>
    </w:div>
    <w:div w:id="1781559751">
      <w:bodyDiv w:val="1"/>
      <w:marLeft w:val="0"/>
      <w:marRight w:val="0"/>
      <w:marTop w:val="0"/>
      <w:marBottom w:val="0"/>
      <w:divBdr>
        <w:top w:val="none" w:sz="0" w:space="0" w:color="auto"/>
        <w:left w:val="none" w:sz="0" w:space="0" w:color="auto"/>
        <w:bottom w:val="none" w:sz="0" w:space="0" w:color="auto"/>
        <w:right w:val="none" w:sz="0" w:space="0" w:color="auto"/>
      </w:divBdr>
    </w:div>
    <w:div w:id="1979407754">
      <w:bodyDiv w:val="1"/>
      <w:marLeft w:val="0"/>
      <w:marRight w:val="0"/>
      <w:marTop w:val="0"/>
      <w:marBottom w:val="0"/>
      <w:divBdr>
        <w:top w:val="none" w:sz="0" w:space="0" w:color="auto"/>
        <w:left w:val="none" w:sz="0" w:space="0" w:color="auto"/>
        <w:bottom w:val="none" w:sz="0" w:space="0" w:color="auto"/>
        <w:right w:val="none" w:sz="0" w:space="0" w:color="auto"/>
      </w:divBdr>
      <w:divsChild>
        <w:div w:id="2043283596">
          <w:marLeft w:val="0"/>
          <w:marRight w:val="0"/>
          <w:marTop w:val="0"/>
          <w:marBottom w:val="0"/>
          <w:divBdr>
            <w:top w:val="none" w:sz="0" w:space="0" w:color="auto"/>
            <w:left w:val="none" w:sz="0" w:space="0" w:color="auto"/>
            <w:bottom w:val="none" w:sz="0" w:space="0" w:color="auto"/>
            <w:right w:val="none" w:sz="0" w:space="0" w:color="auto"/>
          </w:divBdr>
          <w:divsChild>
            <w:div w:id="638147417">
              <w:marLeft w:val="0"/>
              <w:marRight w:val="0"/>
              <w:marTop w:val="0"/>
              <w:marBottom w:val="0"/>
              <w:divBdr>
                <w:top w:val="none" w:sz="0" w:space="0" w:color="auto"/>
                <w:left w:val="none" w:sz="0" w:space="0" w:color="auto"/>
                <w:bottom w:val="none" w:sz="0" w:space="0" w:color="auto"/>
                <w:right w:val="none" w:sz="0" w:space="0" w:color="auto"/>
              </w:divBdr>
              <w:divsChild>
                <w:div w:id="1539245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46930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5615E6-6FCE-429C-A04B-B746C5D0BD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359</TotalTime>
  <Pages>1</Pages>
  <Words>1615</Words>
  <Characters>9208</Characters>
  <Application>Microsoft Office Word</Application>
  <DocSecurity>0</DocSecurity>
  <Lines>76</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Lomonosov MSU</Company>
  <LinksUpToDate>false</LinksUpToDate>
  <CharactersWithSpaces>10802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1</cp:lastModifiedBy>
  <cp:revision>9</cp:revision>
  <dcterms:created xsi:type="dcterms:W3CDTF">2024-02-15T13:25:00Z</dcterms:created>
  <dcterms:modified xsi:type="dcterms:W3CDTF">2024-02-15T20:55:00Z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http://www.zotero.org/styles/gost-r-7-0-5-2008-numeric</vt:lpwstr>
  </property>
  <property fmtid="{D5CDD505-2E9C-101B-9397-08002B2CF9AE}" pid="4" name="Mendeley Unique User Id_1">
    <vt:lpwstr>7a574b5e-a635-314d-bfbf-1dab15d9d1b6</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