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9EE9400" w:rsidP="79EE9400" w:rsidRDefault="008F20BA" w14:paraId="5D672F58" w14:textId="46DF80EA">
      <w:pPr>
        <w:shd w:val="clear" w:color="auto" w:fill="FFFFFF" w:themeFill="background1"/>
        <w:spacing w:line="259" w:lineRule="auto"/>
        <w:jc w:val="center"/>
      </w:pPr>
      <w:r>
        <w:rPr>
          <w:b/>
          <w:bCs/>
          <w:color w:val="000000" w:themeColor="text1"/>
        </w:rPr>
        <w:t>Получение и исследование</w:t>
      </w:r>
      <w:r w:rsidRPr="79EE9400" w:rsidR="79EE9400">
        <w:rPr>
          <w:b/>
          <w:bCs/>
          <w:color w:val="000000" w:themeColor="text1"/>
        </w:rPr>
        <w:t xml:space="preserve"> гибридных частиц ватерита с </w:t>
      </w:r>
      <w:r>
        <w:rPr>
          <w:b/>
          <w:bCs/>
          <w:color w:val="000000" w:themeColor="text1"/>
        </w:rPr>
        <w:t xml:space="preserve">природными полисахаридами и </w:t>
      </w:r>
      <w:r w:rsidRPr="79EE9400" w:rsidR="79EE9400">
        <w:rPr>
          <w:b/>
          <w:bCs/>
          <w:color w:val="000000" w:themeColor="text1"/>
        </w:rPr>
        <w:t>лактоферрином</w:t>
      </w:r>
    </w:p>
    <w:p w:rsidR="00130241" w:rsidP="222B163A" w:rsidRDefault="79EE9400" w14:paraId="00000002" w14:textId="60797AA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jc w:val="center"/>
        <w:rPr>
          <w:b w:val="1"/>
          <w:bCs w:val="1"/>
          <w:i w:val="1"/>
          <w:iCs w:val="1"/>
          <w:color w:val="000000"/>
        </w:rPr>
      </w:pPr>
      <w:r w:rsidRPr="222B163A" w:rsidR="222B163A">
        <w:rPr>
          <w:b w:val="1"/>
          <w:bCs w:val="1"/>
          <w:i w:val="1"/>
          <w:iCs w:val="1"/>
          <w:color w:val="000000" w:themeColor="text1" w:themeTint="FF" w:themeShade="FF"/>
        </w:rPr>
        <w:t>Мосиевич Д.В.</w:t>
      </w:r>
      <w:r w:rsidRPr="222B163A" w:rsidR="222B163A">
        <w:rPr>
          <w:b w:val="1"/>
          <w:bCs w:val="1"/>
          <w:i w:val="1"/>
          <w:iCs w:val="1"/>
          <w:color w:val="000000" w:themeColor="text1" w:themeTint="FF" w:themeShade="FF"/>
          <w:vertAlign w:val="superscript"/>
        </w:rPr>
        <w:t>1,2</w:t>
      </w:r>
      <w:r w:rsidRPr="222B163A" w:rsidR="222B163A">
        <w:rPr>
          <w:b w:val="1"/>
          <w:bCs w:val="1"/>
          <w:i w:val="1"/>
          <w:iCs w:val="1"/>
          <w:color w:val="000000" w:themeColor="text1" w:themeTint="FF" w:themeShade="FF"/>
        </w:rPr>
        <w:t>, Ле-</w:t>
      </w:r>
      <w:r w:rsidRPr="222B163A" w:rsidR="222B163A">
        <w:rPr>
          <w:b w:val="1"/>
          <w:bCs w:val="1"/>
          <w:i w:val="1"/>
          <w:iCs w:val="1"/>
          <w:color w:val="000000" w:themeColor="text1" w:themeTint="FF" w:themeShade="FF"/>
        </w:rPr>
        <w:t>Дейген</w:t>
      </w:r>
      <w:r w:rsidRPr="222B163A" w:rsidR="222B163A">
        <w:rPr>
          <w:b w:val="1"/>
          <w:bCs w:val="1"/>
          <w:i w:val="1"/>
          <w:iCs w:val="1"/>
          <w:color w:val="000000" w:themeColor="text1" w:themeTint="FF" w:themeShade="FF"/>
        </w:rPr>
        <w:t xml:space="preserve"> И.М.</w:t>
      </w:r>
      <w:r w:rsidRPr="222B163A" w:rsidR="222B163A">
        <w:rPr>
          <w:b w:val="1"/>
          <w:bCs w:val="1"/>
          <w:i w:val="1"/>
          <w:iCs w:val="1"/>
          <w:color w:val="000000" w:themeColor="text1" w:themeTint="FF" w:themeShade="FF"/>
          <w:vertAlign w:val="superscript"/>
        </w:rPr>
        <w:t>1</w:t>
      </w:r>
      <w:r w:rsidRPr="222B163A" w:rsidR="222B163A">
        <w:rPr>
          <w:b w:val="1"/>
          <w:bCs w:val="1"/>
          <w:i w:val="1"/>
          <w:iCs w:val="1"/>
          <w:color w:val="000000" w:themeColor="text1" w:themeTint="FF" w:themeShade="FF"/>
        </w:rPr>
        <w:t xml:space="preserve">, </w:t>
      </w:r>
      <w:r w:rsidRPr="222B163A" w:rsidR="222B163A">
        <w:rPr>
          <w:b w:val="1"/>
          <w:bCs w:val="1"/>
          <w:i w:val="1"/>
          <w:iCs w:val="1"/>
          <w:color w:val="000000" w:themeColor="text1" w:themeTint="FF" w:themeShade="FF"/>
        </w:rPr>
        <w:t>Балабушевич</w:t>
      </w:r>
      <w:r w:rsidRPr="222B163A" w:rsidR="222B163A">
        <w:rPr>
          <w:b w:val="1"/>
          <w:bCs w:val="1"/>
          <w:i w:val="1"/>
          <w:iCs w:val="1"/>
          <w:color w:val="000000" w:themeColor="text1" w:themeTint="FF" w:themeShade="FF"/>
        </w:rPr>
        <w:t xml:space="preserve"> Н.Г.</w:t>
      </w:r>
      <w:r w:rsidRPr="222B163A" w:rsidR="222B163A">
        <w:rPr>
          <w:b w:val="1"/>
          <w:bCs w:val="1"/>
          <w:i w:val="1"/>
          <w:iCs w:val="1"/>
          <w:color w:val="000000" w:themeColor="text1" w:themeTint="FF" w:themeShade="FF"/>
          <w:vertAlign w:val="superscript"/>
        </w:rPr>
        <w:t>1, 2</w:t>
      </w:r>
    </w:p>
    <w:p w:rsidR="00130241" w:rsidP="79EE9400" w:rsidRDefault="79EE9400" w14:paraId="00000003" w14:textId="6D0A21A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  <w:color w:val="000000"/>
          <w:highlight w:val="yellow"/>
        </w:rPr>
      </w:pPr>
      <w:r w:rsidRPr="79EE9400">
        <w:rPr>
          <w:i/>
          <w:iCs/>
          <w:color w:val="000000" w:themeColor="text1"/>
        </w:rPr>
        <w:t>Студент, 5 курс специалитета</w:t>
      </w:r>
    </w:p>
    <w:p w:rsidRPr="00921D45" w:rsidR="00130241" w:rsidRDefault="00EB1F49" w14:paraId="00000004" w14:textId="1FBD43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Pr="00391C38" w:rsidR="00130241" w:rsidRDefault="00391C38" w14:paraId="00000005" w14:textId="1A249D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P="4C0B042B" w:rsidRDefault="787017C6" w14:paraId="00000008" w14:textId="18C8284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jc w:val="center"/>
        <w:rPr>
          <w:i w:val="1"/>
          <w:iCs w:val="1"/>
          <w:color w:val="000000"/>
          <w:highlight w:val="yellow"/>
        </w:rPr>
      </w:pPr>
      <w:r w:rsidRPr="4C0B042B" w:rsidR="4C0B042B">
        <w:rPr>
          <w:i w:val="1"/>
          <w:iCs w:val="1"/>
          <w:color w:val="000000" w:themeColor="text1" w:themeTint="FF" w:themeShade="FF"/>
          <w:vertAlign w:val="superscript"/>
        </w:rPr>
        <w:t>2</w:t>
      </w:r>
      <w:r w:rsidRPr="4C0B042B" w:rsidR="4C0B042B">
        <w:rPr>
          <w:i w:val="1"/>
          <w:iCs w:val="1"/>
          <w:color w:val="000000" w:themeColor="text1" w:themeTint="FF" w:themeShade="FF"/>
        </w:rPr>
        <w:t>Федеральный научно-клинический центр физико-химической медицины ФМБА, Москва, Россия</w:t>
      </w:r>
      <w:r>
        <w:br/>
      </w:r>
      <w:r w:rsidRPr="4C0B042B" w:rsidR="4C0B042B">
        <w:rPr>
          <w:i w:val="1"/>
          <w:iCs w:val="1"/>
          <w:color w:val="000000" w:themeColor="text1" w:themeTint="FF" w:themeShade="FF"/>
        </w:rPr>
        <w:t xml:space="preserve">E-mail: </w:t>
      </w:r>
      <w:r w:rsidRPr="4C0B042B" w:rsidR="4C0B042B">
        <w:rPr>
          <w:i w:val="1"/>
          <w:iCs w:val="1"/>
          <w:color w:val="000000" w:themeColor="text1" w:themeTint="FF" w:themeShade="FF"/>
          <w:u w:val="single"/>
        </w:rPr>
        <w:t>dankir98@gmail.com</w:t>
      </w:r>
    </w:p>
    <w:p w:rsidR="787017C6" w:rsidP="7FFEF555" w:rsidRDefault="787017C6" w14:paraId="3FC11F35" w14:textId="014DF28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ind w:firstLine="397"/>
        <w:jc w:val="both"/>
        <w:rPr>
          <w:color w:val="000000" w:themeColor="text1"/>
        </w:rPr>
      </w:pPr>
      <w:r w:rsidRPr="7FFEF555" w:rsidR="7FFEF555">
        <w:rPr>
          <w:color w:val="000000" w:themeColor="text1" w:themeTint="FF" w:themeShade="FF"/>
        </w:rPr>
        <w:t xml:space="preserve">Лактоферрин - </w:t>
      </w:r>
      <w:r w:rsidRPr="7FFEF555" w:rsidR="7FFEF555">
        <w:rPr>
          <w:color w:val="000000" w:themeColor="text1" w:themeTint="FF" w:themeShade="FF"/>
        </w:rPr>
        <w:t>жел</w:t>
      </w:r>
      <w:r w:rsidRPr="7FFEF555" w:rsidR="7FFEF555">
        <w:rPr>
          <w:color w:val="000000" w:themeColor="text1" w:themeTint="FF" w:themeShade="FF"/>
        </w:rPr>
        <w:t>е</w:t>
      </w:r>
      <w:r w:rsidRPr="7FFEF555" w:rsidR="7FFEF555">
        <w:rPr>
          <w:color w:val="000000" w:themeColor="text1" w:themeTint="FF" w:themeShade="FF"/>
        </w:rPr>
        <w:t>зос</w:t>
      </w:r>
      <w:r w:rsidRPr="7FFEF555" w:rsidR="7FFEF555">
        <w:rPr>
          <w:color w:val="000000" w:themeColor="text1" w:themeTint="FF" w:themeShade="FF"/>
        </w:rPr>
        <w:t>вяз</w:t>
      </w:r>
      <w:r w:rsidRPr="7FFEF555" w:rsidR="7FFEF555">
        <w:rPr>
          <w:color w:val="000000" w:themeColor="text1" w:themeTint="FF" w:themeShade="FF"/>
        </w:rPr>
        <w:t>ывающий</w:t>
      </w:r>
      <w:r w:rsidRPr="7FFEF555" w:rsidR="7FFEF555">
        <w:rPr>
          <w:color w:val="000000" w:themeColor="text1" w:themeTint="FF" w:themeShade="FF"/>
        </w:rPr>
        <w:t xml:space="preserve"> гликопротеин, обладающий противомикробным, </w:t>
      </w:r>
      <w:r w:rsidRPr="7FFEF555" w:rsidR="7FFEF555">
        <w:rPr>
          <w:color w:val="000000" w:themeColor="text1" w:themeTint="FF" w:themeShade="FF"/>
        </w:rPr>
        <w:t>иммунорегулирующим</w:t>
      </w:r>
      <w:r w:rsidRPr="7FFEF555" w:rsidR="7FFEF555">
        <w:rPr>
          <w:color w:val="000000" w:themeColor="text1" w:themeTint="FF" w:themeShade="FF"/>
        </w:rPr>
        <w:t xml:space="preserve"> действием и терапевтическим эффекто</w:t>
      </w:r>
      <w:r w:rsidRPr="7FFEF555" w:rsidR="7FFEF555">
        <w:rPr>
          <w:color w:val="000000" w:themeColor="text1" w:themeTint="FF" w:themeShade="FF"/>
        </w:rPr>
        <w:t>м</w:t>
      </w:r>
      <w:r w:rsidRPr="7FFEF555" w:rsidR="7FFEF555">
        <w:rPr>
          <w:color w:val="000000" w:themeColor="text1" w:themeTint="FF" w:themeShade="FF"/>
        </w:rPr>
        <w:t xml:space="preserve"> при </w:t>
      </w:r>
      <w:r w:rsidRPr="7FFEF555" w:rsidR="7FFEF555">
        <w:rPr>
          <w:color w:val="000000" w:themeColor="text1" w:themeTint="FF" w:themeShade="FF"/>
        </w:rPr>
        <w:t xml:space="preserve">различных </w:t>
      </w:r>
      <w:r w:rsidRPr="7FFEF555" w:rsidR="7FFEF555">
        <w:rPr>
          <w:color w:val="000000" w:themeColor="text1" w:themeTint="FF" w:themeShade="FF"/>
        </w:rPr>
        <w:t xml:space="preserve">воспалительных заболеваниях. </w:t>
      </w:r>
      <w:r w:rsidRPr="7FFEF555" w:rsidR="7FFEF555">
        <w:rPr>
          <w:color w:val="000000" w:themeColor="text1" w:themeTint="FF" w:themeShade="FF"/>
        </w:rPr>
        <w:t>А</w:t>
      </w:r>
      <w:r w:rsidRPr="7FFEF555" w:rsidR="7FFEF555">
        <w:rPr>
          <w:color w:val="000000" w:themeColor="text1" w:themeTint="FF" w:themeShade="FF"/>
        </w:rPr>
        <w:t xml:space="preserve">ктуальной задачей является разработка </w:t>
      </w:r>
      <w:r w:rsidRPr="7FFEF555" w:rsidR="7FFEF555">
        <w:rPr>
          <w:color w:val="000000" w:themeColor="text1" w:themeTint="FF" w:themeShade="FF"/>
        </w:rPr>
        <w:t>новых препаратов</w:t>
      </w:r>
      <w:r w:rsidRPr="7FFEF555" w:rsidR="7FFEF555">
        <w:rPr>
          <w:color w:val="000000" w:themeColor="text1" w:themeTint="FF" w:themeShade="FF"/>
        </w:rPr>
        <w:t xml:space="preserve">, которые способны продлевать действие и увеличивать биодоступность </w:t>
      </w:r>
      <w:r w:rsidR="7FFEF555">
        <w:rPr/>
        <w:t>рекомбинантн</w:t>
      </w:r>
      <w:r w:rsidR="7FFEF555">
        <w:rPr/>
        <w:t xml:space="preserve">ого </w:t>
      </w:r>
      <w:r w:rsidRPr="7FFEF555" w:rsidR="7FFEF555">
        <w:rPr>
          <w:color w:val="000000" w:themeColor="text1" w:themeTint="FF" w:themeShade="FF"/>
        </w:rPr>
        <w:t>лактоферрина</w:t>
      </w:r>
      <w:r w:rsidRPr="7FFEF555" w:rsidR="7FFEF555">
        <w:rPr>
          <w:color w:val="000000" w:themeColor="text1" w:themeTint="FF" w:themeShade="FF"/>
        </w:rPr>
        <w:t xml:space="preserve"> при различных путях введения</w:t>
      </w:r>
      <w:r w:rsidRPr="7FFEF555" w:rsidR="7FFEF555">
        <w:rPr>
          <w:color w:val="000000" w:themeColor="text1" w:themeTint="FF" w:themeShade="FF"/>
        </w:rPr>
        <w:t>.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 xml:space="preserve">Среди перспективных средств </w:t>
      </w:r>
      <w:r w:rsidRPr="7FFEF555" w:rsidR="7FFEF555">
        <w:rPr>
          <w:color w:val="000000" w:themeColor="text1" w:themeTint="FF" w:themeShade="FF"/>
        </w:rPr>
        <w:t>мукозальной</w:t>
      </w:r>
      <w:r w:rsidRPr="7FFEF555" w:rsidR="7FFEF555">
        <w:rPr>
          <w:color w:val="000000" w:themeColor="text1" w:themeTint="FF" w:themeShade="FF"/>
        </w:rPr>
        <w:t xml:space="preserve"> доставки можно выделить носители на основе </w:t>
      </w:r>
      <w:r w:rsidRPr="7FFEF555" w:rsidR="7FFEF555">
        <w:rPr>
          <w:color w:val="000000" w:themeColor="text1" w:themeTint="FF" w:themeShade="FF"/>
        </w:rPr>
        <w:t>ватерита</w:t>
      </w:r>
      <w:r w:rsidRPr="7FFEF555" w:rsidR="7FFEF555">
        <w:rPr>
          <w:color w:val="000000" w:themeColor="text1" w:themeTint="FF" w:themeShade="FF"/>
        </w:rPr>
        <w:t xml:space="preserve">. Однако </w:t>
      </w:r>
      <w:r w:rsidRPr="7FFEF555" w:rsidR="7FFEF555">
        <w:rPr>
          <w:color w:val="000000" w:themeColor="text1" w:themeTint="FF" w:themeShade="FF"/>
        </w:rPr>
        <w:t>ватерит</w:t>
      </w:r>
      <w:r w:rsidRPr="7FFEF555" w:rsidR="7FFEF555">
        <w:rPr>
          <w:color w:val="000000" w:themeColor="text1" w:themeTint="FF" w:themeShade="FF"/>
        </w:rPr>
        <w:t xml:space="preserve"> является самой термодинамически нестабильной модификацией карбоната кальция. Этот недостаток может быть устранен дополнительным введением при формировании </w:t>
      </w:r>
      <w:r w:rsidRPr="7FFEF555" w:rsidR="7FFEF555">
        <w:rPr>
          <w:color w:val="000000" w:themeColor="text1" w:themeTint="FF" w:themeShade="FF"/>
        </w:rPr>
        <w:t>ватерита</w:t>
      </w:r>
      <w:r w:rsidRPr="7FFEF555" w:rsidR="7FFEF555">
        <w:rPr>
          <w:color w:val="000000" w:themeColor="text1" w:themeTint="FF" w:themeShade="FF"/>
        </w:rPr>
        <w:t xml:space="preserve"> различных полимеров, а получаемые частицы называют “гибридными”.</w:t>
      </w:r>
    </w:p>
    <w:p w:rsidR="79EE9400" w:rsidP="7FFEF555" w:rsidRDefault="787017C6" w14:paraId="7FB742C0" w14:textId="165049A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ind w:firstLine="397"/>
        <w:jc w:val="both"/>
        <w:rPr>
          <w:color w:val="000000" w:themeColor="text1"/>
        </w:rPr>
      </w:pPr>
      <w:r w:rsidRPr="7FFEF555" w:rsidR="7FFEF555">
        <w:rPr>
          <w:color w:val="000000" w:themeColor="text1" w:themeTint="FF" w:themeShade="FF"/>
        </w:rPr>
        <w:t xml:space="preserve">Целью работы являлось исследование </w:t>
      </w:r>
      <w:r w:rsidRPr="7FFEF555" w:rsidR="7FFEF555">
        <w:rPr>
          <w:color w:val="000000" w:themeColor="text1" w:themeTint="FF" w:themeShade="FF"/>
        </w:rPr>
        <w:t>иммобилизации</w:t>
      </w:r>
      <w:r w:rsidRPr="7FFEF555" w:rsidR="7FFEF555">
        <w:rPr>
          <w:color w:val="000000" w:themeColor="text1" w:themeTint="FF" w:themeShade="FF"/>
        </w:rPr>
        <w:t xml:space="preserve"> </w:t>
      </w:r>
      <w:r w:rsidR="7FFEF555">
        <w:rPr/>
        <w:t>рекомбинантного</w:t>
      </w:r>
      <w:r w:rsidR="7FFEF555">
        <w:rPr/>
        <w:t xml:space="preserve"> </w:t>
      </w:r>
      <w:r w:rsidRPr="7FFEF555" w:rsidR="7FFEF555">
        <w:rPr>
          <w:color w:val="000000" w:themeColor="text1" w:themeTint="FF" w:themeShade="FF"/>
        </w:rPr>
        <w:t xml:space="preserve">лактоферрина </w:t>
      </w:r>
      <w:r w:rsidRPr="7FFEF555" w:rsidR="7FFEF555">
        <w:rPr>
          <w:color w:val="000000" w:themeColor="text1" w:themeTint="FF" w:themeShade="FF"/>
        </w:rPr>
        <w:t xml:space="preserve">из молока </w:t>
      </w:r>
      <w:r w:rsidRPr="7FFEF555" w:rsidR="7FFEF555">
        <w:rPr>
          <w:color w:val="000000" w:themeColor="text1" w:themeTint="FF" w:themeShade="FF"/>
        </w:rPr>
        <w:t xml:space="preserve">трансгенных </w:t>
      </w:r>
      <w:r w:rsidRPr="7FFEF555" w:rsidR="7FFEF555">
        <w:rPr>
          <w:color w:val="000000" w:themeColor="text1" w:themeTint="FF" w:themeShade="FF"/>
        </w:rPr>
        <w:t>коз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 xml:space="preserve">с помощью </w:t>
      </w:r>
      <w:r w:rsidRPr="7FFEF555" w:rsidR="7FFEF555">
        <w:rPr>
          <w:color w:val="000000" w:themeColor="text1" w:themeTint="FF" w:themeShade="FF"/>
        </w:rPr>
        <w:t>соосаждения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 xml:space="preserve">при формировании </w:t>
      </w:r>
      <w:r w:rsidRPr="7FFEF555" w:rsidR="7FFEF555">
        <w:rPr>
          <w:color w:val="000000" w:themeColor="text1" w:themeTint="FF" w:themeShade="FF"/>
        </w:rPr>
        <w:t>гибридны</w:t>
      </w:r>
      <w:r w:rsidRPr="7FFEF555" w:rsidR="7FFEF555">
        <w:rPr>
          <w:color w:val="000000" w:themeColor="text1" w:themeTint="FF" w:themeShade="FF"/>
        </w:rPr>
        <w:t>х</w:t>
      </w:r>
      <w:r w:rsidRPr="7FFEF555" w:rsidR="7FFEF555">
        <w:rPr>
          <w:color w:val="000000" w:themeColor="text1" w:themeTint="FF" w:themeShade="FF"/>
        </w:rPr>
        <w:t xml:space="preserve"> микрочастиц </w:t>
      </w:r>
      <w:r w:rsidRPr="7FFEF555" w:rsidR="7FFEF555">
        <w:rPr>
          <w:color w:val="000000" w:themeColor="text1" w:themeTint="FF" w:themeShade="FF"/>
        </w:rPr>
        <w:t>ватерита</w:t>
      </w:r>
      <w:r w:rsidRPr="7FFEF555" w:rsidR="7FFEF555">
        <w:rPr>
          <w:color w:val="000000" w:themeColor="text1" w:themeTint="FF" w:themeShade="FF"/>
        </w:rPr>
        <w:t xml:space="preserve"> с природными полисахаридами: сульфатированным </w:t>
      </w:r>
      <w:r w:rsidRPr="7FFEF555" w:rsidR="7FFEF555">
        <w:rPr>
          <w:color w:val="000000" w:themeColor="text1" w:themeTint="FF" w:themeShade="FF"/>
        </w:rPr>
        <w:t>фукоиданом</w:t>
      </w:r>
      <w:r w:rsidRPr="7FFEF555" w:rsidR="7FFEF555">
        <w:rPr>
          <w:color w:val="000000" w:themeColor="text1" w:themeTint="FF" w:themeShade="FF"/>
        </w:rPr>
        <w:t xml:space="preserve"> и </w:t>
      </w:r>
      <w:r w:rsidRPr="7FFEF555" w:rsidR="7FFEF555">
        <w:rPr>
          <w:color w:val="000000" w:themeColor="text1" w:themeTint="FF" w:themeShade="FF"/>
        </w:rPr>
        <w:t>несульфатированным</w:t>
      </w:r>
      <w:r w:rsidRPr="7FFEF555" w:rsidR="7FFEF555">
        <w:rPr>
          <w:color w:val="000000" w:themeColor="text1" w:themeTint="FF" w:themeShade="FF"/>
        </w:rPr>
        <w:t xml:space="preserve"> пектином</w:t>
      </w:r>
      <w:r w:rsidRPr="7FFEF555" w:rsidR="7FFEF555">
        <w:rPr>
          <w:color w:val="000000" w:themeColor="text1" w:themeTint="FF" w:themeShade="FF"/>
        </w:rPr>
        <w:t>, перспективными для биомедицинского применения</w:t>
      </w:r>
      <w:r w:rsidRPr="7FFEF555" w:rsidR="7FFEF555">
        <w:rPr>
          <w:color w:val="000000" w:themeColor="text1" w:themeTint="FF" w:themeShade="FF"/>
        </w:rPr>
        <w:t>.</w:t>
      </w:r>
    </w:p>
    <w:p w:rsidR="008F20BA" w:rsidP="7FFEF555" w:rsidRDefault="787017C6" w14:paraId="2B54778C" w14:textId="53F61E1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ind w:firstLine="397"/>
        <w:jc w:val="both"/>
        <w:rPr>
          <w:color w:val="000000" w:themeColor="text1"/>
        </w:rPr>
      </w:pPr>
      <w:r w:rsidRPr="7FFEF555" w:rsidR="7FFEF555">
        <w:rPr>
          <w:color w:val="000000" w:themeColor="text1" w:themeTint="FF" w:themeShade="FF"/>
        </w:rPr>
        <w:t>Ко</w:t>
      </w:r>
      <w:r w:rsidRPr="7FFEF555" w:rsidR="7FFEF555">
        <w:rPr>
          <w:color w:val="000000" w:themeColor="text1" w:themeTint="FF" w:themeShade="FF"/>
        </w:rPr>
        <w:t xml:space="preserve">нтрольные и гибридные микрочастицы </w:t>
      </w:r>
      <w:r w:rsidRPr="7FFEF555" w:rsidR="7FFEF555">
        <w:rPr>
          <w:color w:val="000000" w:themeColor="text1" w:themeTint="FF" w:themeShade="FF"/>
        </w:rPr>
        <w:t>ватерита</w:t>
      </w:r>
      <w:r w:rsidRPr="7FFEF555" w:rsidR="7FFEF555">
        <w:rPr>
          <w:color w:val="000000" w:themeColor="text1" w:themeTint="FF" w:themeShade="FF"/>
        </w:rPr>
        <w:t xml:space="preserve"> с лактоферрином синтезировали </w:t>
      </w:r>
      <w:r w:rsidRPr="7FFEF555" w:rsidR="7FFEF555">
        <w:rPr>
          <w:color w:val="000000" w:themeColor="text1" w:themeTint="FF" w:themeShade="FF"/>
        </w:rPr>
        <w:t xml:space="preserve">методом спонтанной кристаллизации </w:t>
      </w:r>
      <w:r w:rsidRPr="7FFEF555" w:rsidR="7FFEF555">
        <w:rPr>
          <w:color w:val="000000" w:themeColor="text1" w:themeTint="FF" w:themeShade="FF"/>
        </w:rPr>
        <w:t xml:space="preserve">в </w:t>
      </w:r>
      <w:r w:rsidRPr="7FFEF555" w:rsidR="7FFEF555">
        <w:rPr>
          <w:color w:val="000000" w:themeColor="text1" w:themeTint="FF" w:themeShade="FF"/>
        </w:rPr>
        <w:t>трис</w:t>
      </w:r>
      <w:r w:rsidRPr="7FFEF555" w:rsidR="7FFEF555">
        <w:rPr>
          <w:color w:val="000000" w:themeColor="text1" w:themeTint="FF" w:themeShade="FF"/>
        </w:rPr>
        <w:t>-буфере</w:t>
      </w:r>
      <w:r w:rsidRPr="7FFEF555" w:rsidR="7FFEF555">
        <w:rPr>
          <w:color w:val="000000" w:themeColor="text1" w:themeTint="FF" w:themeShade="FF"/>
        </w:rPr>
        <w:t xml:space="preserve"> сливанием растворов, содержащих ионы Ca</w:t>
      </w:r>
      <w:r w:rsidRPr="7FFEF555" w:rsidR="7FFEF555">
        <w:rPr>
          <w:color w:val="000000" w:themeColor="text1" w:themeTint="FF" w:themeShade="FF"/>
          <w:vertAlign w:val="superscript"/>
        </w:rPr>
        <w:t>2+</w:t>
      </w:r>
      <w:r w:rsidRPr="7FFEF555" w:rsidR="7FFEF555">
        <w:rPr>
          <w:color w:val="000000" w:themeColor="text1" w:themeTint="FF" w:themeShade="FF"/>
        </w:rPr>
        <w:t xml:space="preserve"> и CO</w:t>
      </w:r>
      <w:r w:rsidRPr="7FFEF555" w:rsidR="7FFEF555">
        <w:rPr>
          <w:color w:val="000000" w:themeColor="text1" w:themeTint="FF" w:themeShade="FF"/>
          <w:vertAlign w:val="subscript"/>
        </w:rPr>
        <w:t>3</w:t>
      </w:r>
      <w:r w:rsidRPr="7FFEF555" w:rsidR="7FFEF555">
        <w:rPr>
          <w:color w:val="000000" w:themeColor="text1" w:themeTint="FF" w:themeShade="FF"/>
          <w:vertAlign w:val="superscript"/>
        </w:rPr>
        <w:t>2-</w:t>
      </w:r>
      <w:r w:rsidRPr="7FFEF555" w:rsidR="7FFEF555">
        <w:rPr>
          <w:color w:val="000000" w:themeColor="text1" w:themeTint="FF" w:themeShade="FF"/>
        </w:rPr>
        <w:t>,</w:t>
      </w:r>
      <w:r w:rsidRPr="7FFEF555" w:rsidR="7FFEF555">
        <w:rPr>
          <w:color w:val="000000" w:themeColor="text1" w:themeTint="FF" w:themeShade="FF"/>
        </w:rPr>
        <w:t xml:space="preserve"> соответственно в присутствии гликопротеина или его комплекса с полисахарид</w:t>
      </w:r>
      <w:r w:rsidRPr="7FFEF555" w:rsidR="7FFEF555">
        <w:rPr>
          <w:color w:val="000000" w:themeColor="text1" w:themeTint="FF" w:themeShade="FF"/>
        </w:rPr>
        <w:t>ом</w:t>
      </w:r>
      <w:r w:rsidRPr="7FFEF555" w:rsidR="7FFEF555">
        <w:rPr>
          <w:color w:val="000000" w:themeColor="text1" w:themeTint="FF" w:themeShade="FF"/>
        </w:rPr>
        <w:t xml:space="preserve">, </w:t>
      </w:r>
      <w:r w:rsidRPr="7FFEF555" w:rsidR="7FFEF555">
        <w:rPr>
          <w:color w:val="000000" w:themeColor="text1" w:themeTint="FF" w:themeShade="FF"/>
        </w:rPr>
        <w:t xml:space="preserve">а </w:t>
      </w:r>
      <w:r w:rsidRPr="7FFEF555" w:rsidR="7FFEF555">
        <w:rPr>
          <w:color w:val="000000" w:themeColor="text1" w:themeTint="FF" w:themeShade="FF"/>
        </w:rPr>
        <w:t xml:space="preserve">далее промывали </w:t>
      </w:r>
      <w:r w:rsidRPr="7FFEF555" w:rsidR="7FFEF555">
        <w:rPr>
          <w:color w:val="000000" w:themeColor="text1" w:themeTint="FF" w:themeShade="FF"/>
        </w:rPr>
        <w:t xml:space="preserve">водой </w:t>
      </w:r>
      <w:r w:rsidRPr="7FFEF555" w:rsidR="7FFEF555">
        <w:rPr>
          <w:color w:val="000000" w:themeColor="text1" w:themeTint="FF" w:themeShade="FF"/>
        </w:rPr>
        <w:t xml:space="preserve">и лиофильно высушивали. Морфологию частиц изучали с использованием </w:t>
      </w:r>
      <w:r w:rsidRPr="7FFEF555" w:rsidR="7FFEF555">
        <w:rPr>
          <w:color w:val="000000" w:themeColor="text1" w:themeTint="FF" w:themeShade="FF"/>
        </w:rPr>
        <w:t xml:space="preserve">метода </w:t>
      </w:r>
      <w:r w:rsidRPr="7FFEF555" w:rsidR="7FFEF555">
        <w:rPr>
          <w:color w:val="000000" w:themeColor="text1" w:themeTint="FF" w:themeShade="FF"/>
        </w:rPr>
        <w:t>СЭМ</w:t>
      </w:r>
      <w:r w:rsidRPr="7FFEF555" w:rsidR="7FFEF555">
        <w:rPr>
          <w:color w:val="000000" w:themeColor="text1" w:themeTint="FF" w:themeShade="FF"/>
        </w:rPr>
        <w:t xml:space="preserve"> и </w:t>
      </w:r>
      <w:r w:rsidRPr="7FFEF555" w:rsidR="7FFEF555">
        <w:rPr>
          <w:color w:val="000000" w:themeColor="text1" w:themeTint="FF" w:themeShade="FF"/>
        </w:rPr>
        <w:t>адсорбции</w:t>
      </w:r>
      <w:r w:rsidRPr="7FFEF555" w:rsidR="7FFEF555">
        <w:rPr>
          <w:color w:val="000000" w:themeColor="text1" w:themeTint="FF" w:themeShade="FF"/>
        </w:rPr>
        <w:t>-</w:t>
      </w:r>
      <w:r w:rsidRPr="7FFEF555" w:rsidR="7FFEF555">
        <w:rPr>
          <w:color w:val="000000" w:themeColor="text1" w:themeTint="FF" w:themeShade="FF"/>
        </w:rPr>
        <w:t xml:space="preserve">десорбции азота, а включение лактоферрина в частицы </w:t>
      </w:r>
      <w:r w:rsidRPr="7FFEF555" w:rsidR="7FFEF555">
        <w:rPr>
          <w:color w:val="000000" w:themeColor="text1" w:themeTint="FF" w:themeShade="FF"/>
        </w:rPr>
        <w:t>-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 xml:space="preserve">с помощью спектрофотометрических методов. </w:t>
      </w:r>
    </w:p>
    <w:p w:rsidR="787017C6" w:rsidP="7FFEF555" w:rsidRDefault="787017C6" w14:paraId="1E5BAC1D" w14:textId="3C8ABBE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ind w:firstLine="397"/>
        <w:jc w:val="both"/>
        <w:rPr>
          <w:color w:val="000000" w:themeColor="text1"/>
        </w:rPr>
      </w:pPr>
      <w:r w:rsidRPr="7FFEF555" w:rsidR="7FFEF555">
        <w:rPr>
          <w:color w:val="000000" w:themeColor="text1" w:themeTint="FF" w:themeShade="FF"/>
        </w:rPr>
        <w:t xml:space="preserve">Гибридные микрочастицы </w:t>
      </w:r>
      <w:r w:rsidRPr="7FFEF555" w:rsidR="7FFEF555">
        <w:rPr>
          <w:color w:val="000000" w:themeColor="text1" w:themeTint="FF" w:themeShade="FF"/>
        </w:rPr>
        <w:t>ватерита</w:t>
      </w:r>
      <w:r w:rsidRPr="7FFEF555" w:rsidR="7FFEF555">
        <w:rPr>
          <w:color w:val="000000" w:themeColor="text1" w:themeTint="FF" w:themeShade="FF"/>
        </w:rPr>
        <w:t xml:space="preserve"> с пектином имели в два раза большую площадь поверхности по сравнению с контрольными частицами и гибридными частицами с </w:t>
      </w:r>
      <w:r w:rsidRPr="7FFEF555" w:rsidR="7FFEF555">
        <w:rPr>
          <w:color w:val="000000" w:themeColor="text1" w:themeTint="FF" w:themeShade="FF"/>
        </w:rPr>
        <w:t>фукоиданом</w:t>
      </w:r>
      <w:r w:rsidRPr="7FFEF555" w:rsidR="7FFEF555">
        <w:rPr>
          <w:color w:val="000000" w:themeColor="text1" w:themeTint="FF" w:themeShade="FF"/>
        </w:rPr>
        <w:t xml:space="preserve">. Все гибридные частицы характеризовались узким распределением размера пор, в отличии от контрольных частиц, у которых размер пор изменялся в больших пределах. </w:t>
      </w:r>
    </w:p>
    <w:p w:rsidR="00765F59" w:rsidP="7FFEF555" w:rsidRDefault="004305D6" w14:paraId="6BF5E95D" w14:textId="0E7E455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ind w:firstLine="397"/>
        <w:jc w:val="both"/>
        <w:rPr>
          <w:color w:val="000000" w:themeColor="text1"/>
        </w:rPr>
      </w:pPr>
      <w:r w:rsidR="7FFEF555">
        <w:rPr/>
        <w:t>Э</w:t>
      </w:r>
      <w:r w:rsidRPr="7FFEF555" w:rsidR="7FFEF555">
        <w:rPr>
          <w:color w:val="000000" w:themeColor="text1" w:themeTint="FF" w:themeShade="FF"/>
        </w:rPr>
        <w:t xml:space="preserve">ффективность включения </w:t>
      </w:r>
      <w:r w:rsidRPr="7FFEF555" w:rsidR="7FFEF555">
        <w:rPr>
          <w:color w:val="000000" w:themeColor="text1" w:themeTint="FF" w:themeShade="FF"/>
        </w:rPr>
        <w:t>лактоферрина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 xml:space="preserve">в гибридные микрочастицы </w:t>
      </w:r>
      <w:r w:rsidRPr="7FFEF555" w:rsidR="7FFEF555">
        <w:rPr>
          <w:color w:val="000000" w:themeColor="text1" w:themeTint="FF" w:themeShade="FF"/>
        </w:rPr>
        <w:t>в комплекс</w:t>
      </w:r>
      <w:r w:rsidRPr="7FFEF555" w:rsidR="7FFEF555">
        <w:rPr>
          <w:color w:val="000000" w:themeColor="text1" w:themeTint="FF" w:themeShade="FF"/>
        </w:rPr>
        <w:t>е</w:t>
      </w:r>
      <w:r w:rsidRPr="7FFEF555" w:rsidR="7FFEF555">
        <w:rPr>
          <w:color w:val="000000" w:themeColor="text1" w:themeTint="FF" w:themeShade="FF"/>
        </w:rPr>
        <w:t xml:space="preserve"> с полисахаридами </w:t>
      </w:r>
      <w:r w:rsidRPr="7FFEF555" w:rsidR="7FFEF555">
        <w:rPr>
          <w:color w:val="000000" w:themeColor="text1" w:themeTint="FF" w:themeShade="FF"/>
        </w:rPr>
        <w:t xml:space="preserve">была </w:t>
      </w:r>
      <w:r w:rsidRPr="7FFEF555" w:rsidR="7FFEF555">
        <w:rPr>
          <w:color w:val="000000" w:themeColor="text1" w:themeTint="FF" w:themeShade="FF"/>
        </w:rPr>
        <w:t>меньш</w:t>
      </w:r>
      <w:r w:rsidRPr="7FFEF555" w:rsidR="7FFEF555">
        <w:rPr>
          <w:color w:val="000000" w:themeColor="text1" w:themeTint="FF" w:themeShade="FF"/>
        </w:rPr>
        <w:t>е</w:t>
      </w:r>
      <w:r w:rsidRPr="7FFEF555" w:rsidR="7FFEF555">
        <w:rPr>
          <w:color w:val="000000" w:themeColor="text1" w:themeTint="FF" w:themeShade="FF"/>
        </w:rPr>
        <w:t>, чем в контрольные</w:t>
      </w:r>
      <w:r w:rsidRPr="7FFEF555" w:rsidR="7FFEF555">
        <w:rPr>
          <w:color w:val="000000" w:themeColor="text1" w:themeTint="FF" w:themeShade="FF"/>
        </w:rPr>
        <w:t xml:space="preserve">, </w:t>
      </w:r>
      <w:r w:rsidRPr="7FFEF555" w:rsidR="7FFEF555">
        <w:rPr>
          <w:color w:val="000000" w:themeColor="text1" w:themeTint="FF" w:themeShade="FF"/>
        </w:rPr>
        <w:t xml:space="preserve">поэтому </w:t>
      </w:r>
      <w:r w:rsidRPr="7FFEF555" w:rsidR="7FFEF555">
        <w:rPr>
          <w:color w:val="000000" w:themeColor="text1" w:themeTint="FF" w:themeShade="FF"/>
        </w:rPr>
        <w:t xml:space="preserve">с помощью </w:t>
      </w:r>
      <w:r w:rsidRPr="7FFEF555" w:rsidR="7FFEF555">
        <w:rPr>
          <w:color w:val="000000" w:themeColor="text1" w:themeTint="FF" w:themeShade="FF"/>
        </w:rPr>
        <w:t>ИК-</w:t>
      </w:r>
      <w:r w:rsidRPr="7FFEF555" w:rsidR="7FFEF555">
        <w:rPr>
          <w:color w:val="000000" w:themeColor="text1" w:themeTint="FF" w:themeShade="FF"/>
        </w:rPr>
        <w:t>спектр</w:t>
      </w:r>
      <w:r w:rsidRPr="7FFEF555" w:rsidR="7FFEF555">
        <w:rPr>
          <w:color w:val="000000" w:themeColor="text1" w:themeTint="FF" w:themeShade="FF"/>
        </w:rPr>
        <w:t>офотометрии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 xml:space="preserve">было исследовано </w:t>
      </w:r>
      <w:r w:rsidRPr="7FFEF555" w:rsidR="7FFEF555">
        <w:rPr>
          <w:color w:val="000000" w:themeColor="text1" w:themeTint="FF" w:themeShade="FF"/>
        </w:rPr>
        <w:t>комплексообразовани</w:t>
      </w:r>
      <w:r w:rsidRPr="7FFEF555" w:rsidR="7FFEF555">
        <w:rPr>
          <w:color w:val="000000" w:themeColor="text1" w:themeTint="FF" w:themeShade="FF"/>
        </w:rPr>
        <w:t>е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 xml:space="preserve">гликопротеина </w:t>
      </w:r>
      <w:r w:rsidRPr="7FFEF555" w:rsidR="7FFEF555">
        <w:rPr>
          <w:color w:val="000000" w:themeColor="text1" w:themeTint="FF" w:themeShade="FF"/>
        </w:rPr>
        <w:t xml:space="preserve">с </w:t>
      </w:r>
      <w:r w:rsidRPr="7FFEF555" w:rsidR="7FFEF555">
        <w:rPr>
          <w:color w:val="000000" w:themeColor="text1" w:themeTint="FF" w:themeShade="FF"/>
        </w:rPr>
        <w:t xml:space="preserve">пектином и </w:t>
      </w:r>
      <w:r w:rsidRPr="7FFEF555" w:rsidR="7FFEF555">
        <w:rPr>
          <w:color w:val="000000" w:themeColor="text1" w:themeTint="FF" w:themeShade="FF"/>
        </w:rPr>
        <w:t>фукоиданом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 xml:space="preserve">в присутствии </w:t>
      </w:r>
      <w:r w:rsidRPr="7FFEF555" w:rsidR="7FFEF555">
        <w:rPr>
          <w:color w:val="000000" w:themeColor="text1" w:themeTint="FF" w:themeShade="FF"/>
        </w:rPr>
        <w:t>трис</w:t>
      </w:r>
      <w:r w:rsidRPr="7FFEF555" w:rsidR="7FFEF555">
        <w:rPr>
          <w:color w:val="000000" w:themeColor="text1" w:themeTint="FF" w:themeShade="FF"/>
        </w:rPr>
        <w:t>-буфер</w:t>
      </w:r>
      <w:r w:rsidRPr="7FFEF555" w:rsidR="7FFEF555">
        <w:rPr>
          <w:color w:val="000000" w:themeColor="text1" w:themeTint="FF" w:themeShade="FF"/>
        </w:rPr>
        <w:t xml:space="preserve">а и </w:t>
      </w:r>
      <w:r w:rsidRPr="7FFEF555" w:rsidR="7FFEF555">
        <w:rPr>
          <w:color w:val="000000" w:themeColor="text1" w:themeTint="FF" w:themeShade="FF"/>
          <w:lang w:val="en-US"/>
        </w:rPr>
        <w:t>C</w:t>
      </w:r>
      <w:r w:rsidRPr="7FFEF555" w:rsidR="7FFEF555">
        <w:rPr>
          <w:color w:val="000000" w:themeColor="text1" w:themeTint="FF" w:themeShade="FF"/>
        </w:rPr>
        <w:t>а</w:t>
      </w:r>
      <w:r w:rsidRPr="7FFEF555" w:rsidR="7FFEF555">
        <w:rPr>
          <w:color w:val="000000" w:themeColor="text1" w:themeTint="FF" w:themeShade="FF"/>
          <w:vertAlign w:val="superscript"/>
        </w:rPr>
        <w:t>+2</w:t>
      </w:r>
      <w:r w:rsidRPr="7FFEF555" w:rsidR="7FFEF555">
        <w:rPr>
          <w:color w:val="000000" w:themeColor="text1" w:themeTint="FF" w:themeShade="FF"/>
        </w:rPr>
        <w:t>. Анализ вторичной структ</w:t>
      </w:r>
      <w:r w:rsidRPr="7FFEF555" w:rsidR="7FFEF555">
        <w:rPr>
          <w:color w:val="000000" w:themeColor="text1" w:themeTint="FF" w:themeShade="FF"/>
        </w:rPr>
        <w:t>у</w:t>
      </w:r>
      <w:r w:rsidRPr="7FFEF555" w:rsidR="7FFEF555">
        <w:rPr>
          <w:color w:val="000000" w:themeColor="text1" w:themeTint="FF" w:themeShade="FF"/>
        </w:rPr>
        <w:t xml:space="preserve">ры </w:t>
      </w:r>
      <w:r w:rsidRPr="7FFEF555" w:rsidR="7FFEF555">
        <w:rPr>
          <w:color w:val="000000" w:themeColor="text1" w:themeTint="FF" w:themeShade="FF"/>
        </w:rPr>
        <w:t xml:space="preserve">лактоферрина </w:t>
      </w:r>
      <w:r w:rsidRPr="7FFEF555" w:rsidR="7FFEF555">
        <w:rPr>
          <w:color w:val="000000" w:themeColor="text1" w:themeTint="FF" w:themeShade="FF"/>
        </w:rPr>
        <w:t xml:space="preserve">по полосе </w:t>
      </w:r>
      <w:r w:rsidRPr="7FFEF555" w:rsidR="7FFEF555">
        <w:rPr>
          <w:color w:val="000000" w:themeColor="text1" w:themeTint="FF" w:themeShade="FF"/>
        </w:rPr>
        <w:t>амид</w:t>
      </w:r>
      <w:r w:rsidRPr="7FFEF555" w:rsidR="7FFEF555">
        <w:rPr>
          <w:color w:val="000000" w:themeColor="text1" w:themeTint="FF" w:themeShade="FF"/>
        </w:rPr>
        <w:t xml:space="preserve"> I показал, что структура гликопротеина при добавлении полисахаридов и CaCl</w:t>
      </w:r>
      <w:r w:rsidRPr="7FFEF555" w:rsidR="7FFEF555">
        <w:rPr>
          <w:color w:val="000000" w:themeColor="text1" w:themeTint="FF" w:themeShade="FF"/>
          <w:vertAlign w:val="subscript"/>
        </w:rPr>
        <w:t>2</w:t>
      </w:r>
      <w:r w:rsidRPr="7FFEF555" w:rsidR="7FFEF555">
        <w:rPr>
          <w:color w:val="000000" w:themeColor="text1" w:themeTint="FF" w:themeShade="FF"/>
        </w:rPr>
        <w:t xml:space="preserve"> изменя</w:t>
      </w:r>
      <w:r w:rsidRPr="7FFEF555" w:rsidR="7FFEF555">
        <w:rPr>
          <w:color w:val="000000" w:themeColor="text1" w:themeTint="FF" w:themeShade="FF"/>
        </w:rPr>
        <w:t xml:space="preserve">лась </w:t>
      </w:r>
      <w:r w:rsidRPr="7FFEF555" w:rsidR="7FFEF555">
        <w:rPr>
          <w:color w:val="000000" w:themeColor="text1" w:themeTint="FF" w:themeShade="FF"/>
        </w:rPr>
        <w:t xml:space="preserve">незначительно, за исключением образца </w:t>
      </w:r>
      <w:r w:rsidRPr="7FFEF555" w:rsidR="7FFEF555">
        <w:rPr>
          <w:color w:val="000000" w:themeColor="text1" w:themeTint="FF" w:themeShade="FF"/>
        </w:rPr>
        <w:t xml:space="preserve">содержащего одновременно </w:t>
      </w:r>
      <w:r w:rsidRPr="7FFEF555" w:rsidR="7FFEF555">
        <w:rPr>
          <w:color w:val="000000" w:themeColor="text1" w:themeTint="FF" w:themeShade="FF"/>
        </w:rPr>
        <w:t xml:space="preserve">пектин </w:t>
      </w:r>
      <w:r w:rsidRPr="7FFEF555" w:rsidR="7FFEF555">
        <w:rPr>
          <w:color w:val="000000" w:themeColor="text1" w:themeTint="FF" w:themeShade="FF"/>
        </w:rPr>
        <w:t xml:space="preserve">и </w:t>
      </w:r>
      <w:r w:rsidRPr="7FFEF555" w:rsidR="7FFEF555">
        <w:rPr>
          <w:color w:val="000000" w:themeColor="text1" w:themeTint="FF" w:themeShade="FF"/>
        </w:rPr>
        <w:t>CaCl</w:t>
      </w:r>
      <w:r w:rsidRPr="7FFEF555" w:rsidR="7FFEF555">
        <w:rPr>
          <w:color w:val="000000" w:themeColor="text1" w:themeTint="FF" w:themeShade="FF"/>
          <w:vertAlign w:val="subscript"/>
        </w:rPr>
        <w:t>2</w:t>
      </w:r>
      <w:r w:rsidRPr="7FFEF555" w:rsidR="7FFEF555">
        <w:rPr>
          <w:color w:val="000000" w:themeColor="text1" w:themeTint="FF" w:themeShade="FF"/>
        </w:rPr>
        <w:t>, в котором доля бета-структур возрастала на 10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>%.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>Анализ полосы 1733 см</w:t>
      </w:r>
      <w:r w:rsidRPr="7FFEF555" w:rsidR="7FFEF555">
        <w:rPr>
          <w:color w:val="000000" w:themeColor="text1" w:themeTint="FF" w:themeShade="FF"/>
          <w:vertAlign w:val="superscript"/>
        </w:rPr>
        <w:t>-1</w:t>
      </w:r>
      <w:r w:rsidRPr="7FFEF555" w:rsidR="7FFEF555">
        <w:rPr>
          <w:color w:val="000000" w:themeColor="text1" w:themeTint="FF" w:themeShade="FF"/>
        </w:rPr>
        <w:t xml:space="preserve"> у пектина </w:t>
      </w:r>
      <w:r w:rsidRPr="7FFEF555" w:rsidR="7FFEF555">
        <w:rPr>
          <w:color w:val="000000" w:themeColor="text1" w:themeTint="FF" w:themeShade="FF"/>
        </w:rPr>
        <w:t>выявил</w:t>
      </w:r>
      <w:r w:rsidRPr="7FFEF555" w:rsidR="7FFEF555">
        <w:rPr>
          <w:color w:val="000000" w:themeColor="text1" w:themeTint="FF" w:themeShade="FF"/>
        </w:rPr>
        <w:t xml:space="preserve"> преимущественное взаимодействие </w:t>
      </w:r>
      <w:r w:rsidRPr="7FFEF555" w:rsidR="7FFEF555">
        <w:rPr>
          <w:color w:val="000000" w:themeColor="text1" w:themeTint="FF" w:themeShade="FF"/>
        </w:rPr>
        <w:t xml:space="preserve">полисахарида </w:t>
      </w:r>
      <w:r w:rsidRPr="7FFEF555" w:rsidR="7FFEF555">
        <w:rPr>
          <w:color w:val="000000" w:themeColor="text1" w:themeTint="FF" w:themeShade="FF"/>
        </w:rPr>
        <w:t xml:space="preserve">с </w:t>
      </w:r>
      <w:r w:rsidRPr="7FFEF555" w:rsidR="7FFEF555">
        <w:rPr>
          <w:color w:val="000000" w:themeColor="text1" w:themeTint="FF" w:themeShade="FF"/>
        </w:rPr>
        <w:t>Ca</w:t>
      </w:r>
      <w:r w:rsidRPr="7FFEF555" w:rsidR="7FFEF555">
        <w:rPr>
          <w:color w:val="000000" w:themeColor="text1" w:themeTint="FF" w:themeShade="FF"/>
          <w:vertAlign w:val="superscript"/>
        </w:rPr>
        <w:t>2+</w:t>
      </w:r>
      <w:r w:rsidRPr="7FFEF555" w:rsidR="7FFEF555">
        <w:rPr>
          <w:color w:val="000000" w:themeColor="text1" w:themeTint="FF" w:themeShade="FF"/>
        </w:rPr>
        <w:t xml:space="preserve">, </w:t>
      </w:r>
      <w:bookmarkStart w:name="_Hlk157771964" w:id="0"/>
      <w:r w:rsidRPr="7FFEF555" w:rsidR="7FFEF555">
        <w:rPr>
          <w:color w:val="000000" w:themeColor="text1" w:themeTint="FF" w:themeShade="FF"/>
        </w:rPr>
        <w:t>так как в образца</w:t>
      </w:r>
      <w:r w:rsidRPr="7FFEF555" w:rsidR="7FFEF555">
        <w:rPr>
          <w:color w:val="000000" w:themeColor="text1" w:themeTint="FF" w:themeShade="FF"/>
        </w:rPr>
        <w:t>х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 xml:space="preserve">с полисахаридом и </w:t>
      </w:r>
      <w:r w:rsidRPr="7FFEF555" w:rsidR="7FFEF555">
        <w:rPr>
          <w:color w:val="000000" w:themeColor="text1" w:themeTint="FF" w:themeShade="FF"/>
        </w:rPr>
        <w:t>CaC</w:t>
      </w:r>
      <w:r w:rsidRPr="7FFEF555" w:rsidR="7FFEF555">
        <w:rPr>
          <w:color w:val="000000" w:themeColor="text1" w:themeTint="FF" w:themeShade="FF"/>
          <w:lang w:val="en-US"/>
        </w:rPr>
        <w:t>l</w:t>
      </w:r>
      <w:r w:rsidRPr="7FFEF555" w:rsidR="7FFEF555">
        <w:rPr>
          <w:color w:val="000000" w:themeColor="text1" w:themeTint="FF" w:themeShade="FF"/>
          <w:vertAlign w:val="subscript"/>
        </w:rPr>
        <w:t>2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 xml:space="preserve">в отсутствии и присутствии </w:t>
      </w:r>
      <w:r w:rsidRPr="7FFEF555" w:rsidR="7FFEF555">
        <w:rPr>
          <w:color w:val="000000" w:themeColor="text1" w:themeTint="FF" w:themeShade="FF"/>
        </w:rPr>
        <w:t>л</w:t>
      </w:r>
      <w:r w:rsidRPr="7FFEF555" w:rsidR="7FFEF555">
        <w:rPr>
          <w:color w:val="000000" w:themeColor="text1" w:themeTint="FF" w:themeShade="FF"/>
        </w:rPr>
        <w:t>актоферрина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>формы полос практически не отличались</w:t>
      </w:r>
      <w:r w:rsidRPr="7FFEF555" w:rsidR="7FFEF555">
        <w:rPr>
          <w:color w:val="000000" w:themeColor="text1" w:themeTint="FF" w:themeShade="FF"/>
        </w:rPr>
        <w:t>.</w:t>
      </w:r>
      <w:bookmarkEnd w:id="0"/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>Анализ полос при 1300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>-</w:t>
      </w:r>
      <w:r w:rsidRPr="7FFEF555" w:rsidR="7FFEF555">
        <w:rPr>
          <w:color w:val="000000" w:themeColor="text1" w:themeTint="FF" w:themeShade="FF"/>
        </w:rPr>
        <w:t>1200 см</w:t>
      </w:r>
      <w:r w:rsidRPr="7FFEF555" w:rsidR="7FFEF555">
        <w:rPr>
          <w:color w:val="000000" w:themeColor="text1" w:themeTint="FF" w:themeShade="FF"/>
          <w:vertAlign w:val="superscript"/>
        </w:rPr>
        <w:t>-1</w:t>
      </w:r>
      <w:r w:rsidRPr="7FFEF555" w:rsidR="7FFEF555">
        <w:rPr>
          <w:color w:val="000000" w:themeColor="text1" w:themeTint="FF" w:themeShade="FF"/>
        </w:rPr>
        <w:t xml:space="preserve"> у </w:t>
      </w:r>
      <w:r w:rsidRPr="7FFEF555" w:rsidR="7FFEF555">
        <w:rPr>
          <w:color w:val="000000" w:themeColor="text1" w:themeTint="FF" w:themeShade="FF"/>
        </w:rPr>
        <w:t>фукоидана</w:t>
      </w:r>
      <w:r w:rsidRPr="7FFEF555" w:rsidR="7FFEF555">
        <w:rPr>
          <w:color w:val="000000" w:themeColor="text1" w:themeTint="FF" w:themeShade="FF"/>
        </w:rPr>
        <w:t xml:space="preserve"> также показал преимущественное взаимодействие </w:t>
      </w:r>
      <w:bookmarkStart w:name="_Hlk157771894" w:id="1"/>
      <w:r w:rsidRPr="7FFEF555" w:rsidR="7FFEF555">
        <w:rPr>
          <w:color w:val="000000" w:themeColor="text1" w:themeTint="FF" w:themeShade="FF"/>
        </w:rPr>
        <w:t>Ca</w:t>
      </w:r>
      <w:r w:rsidRPr="7FFEF555" w:rsidR="7FFEF555">
        <w:rPr>
          <w:color w:val="000000" w:themeColor="text1" w:themeTint="FF" w:themeShade="FF"/>
          <w:vertAlign w:val="superscript"/>
        </w:rPr>
        <w:t>2+</w:t>
      </w:r>
      <w:r w:rsidRPr="7FFEF555" w:rsidR="7FFEF555">
        <w:rPr>
          <w:color w:val="000000" w:themeColor="text1" w:themeTint="FF" w:themeShade="FF"/>
        </w:rPr>
        <w:t>с</w:t>
      </w:r>
      <w:r w:rsidRPr="7FFEF555" w:rsidR="7FFEF555">
        <w:rPr>
          <w:color w:val="000000" w:themeColor="text1" w:themeTint="FF" w:themeShade="FF"/>
        </w:rPr>
        <w:t xml:space="preserve"> </w:t>
      </w:r>
      <w:r w:rsidRPr="7FFEF555" w:rsidR="7FFEF555">
        <w:rPr>
          <w:color w:val="000000" w:themeColor="text1" w:themeTint="FF" w:themeShade="FF"/>
        </w:rPr>
        <w:t>биополимеро</w:t>
      </w:r>
      <w:r w:rsidRPr="7FFEF555" w:rsidR="7FFEF555">
        <w:rPr>
          <w:color w:val="000000" w:themeColor="text1" w:themeTint="FF" w:themeShade="FF"/>
        </w:rPr>
        <w:t>м</w:t>
      </w:r>
      <w:bookmarkEnd w:id="1"/>
      <w:r w:rsidRPr="7FFEF555" w:rsidR="7FFEF555">
        <w:rPr>
          <w:color w:val="000000" w:themeColor="text1" w:themeTint="FF" w:themeShade="FF"/>
        </w:rPr>
        <w:t xml:space="preserve">. </w:t>
      </w:r>
    </w:p>
    <w:p w:rsidR="79EE9400" w:rsidP="222B163A" w:rsidRDefault="79EE9400" w14:paraId="68BD0E30" w14:textId="34893B7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ind w:firstLine="397"/>
        <w:jc w:val="both"/>
        <w:rPr>
          <w:color w:val="000000" w:themeColor="text1"/>
        </w:rPr>
      </w:pPr>
      <w:r w:rsidRPr="222B163A" w:rsidR="222B163A">
        <w:rPr>
          <w:color w:val="000000" w:themeColor="text1" w:themeTint="FF" w:themeShade="FF"/>
        </w:rPr>
        <w:t xml:space="preserve">Таким образом, в работе были получены гибридные частицы </w:t>
      </w:r>
      <w:r w:rsidRPr="222B163A" w:rsidR="222B163A">
        <w:rPr>
          <w:color w:val="000000" w:themeColor="text1" w:themeTint="FF" w:themeShade="FF"/>
        </w:rPr>
        <w:t>ватерита</w:t>
      </w:r>
      <w:r w:rsidRPr="222B163A" w:rsidR="222B163A">
        <w:rPr>
          <w:color w:val="000000" w:themeColor="text1" w:themeTint="FF" w:themeShade="FF"/>
        </w:rPr>
        <w:t xml:space="preserve"> с полисахаридами и лактоферрином, а при анализе ИК-спектров удалось объяснить, что </w:t>
      </w:r>
      <w:r w:rsidRPr="222B163A" w:rsidR="222B163A">
        <w:rPr>
          <w:color w:val="000000" w:themeColor="text1" w:themeTint="FF" w:themeShade="FF"/>
        </w:rPr>
        <w:t>вследствии</w:t>
      </w:r>
      <w:r w:rsidRPr="222B163A" w:rsidR="222B163A">
        <w:rPr>
          <w:color w:val="000000" w:themeColor="text1" w:themeTint="FF" w:themeShade="FF"/>
        </w:rPr>
        <w:t xml:space="preserve"> разрушения </w:t>
      </w:r>
      <w:r w:rsidRPr="222B163A" w:rsidR="222B163A">
        <w:rPr>
          <w:color w:val="000000" w:themeColor="text1" w:themeTint="FF" w:themeShade="FF"/>
        </w:rPr>
        <w:t>полиэлектролитных</w:t>
      </w:r>
      <w:r w:rsidRPr="222B163A" w:rsidR="222B163A">
        <w:rPr>
          <w:color w:val="000000" w:themeColor="text1" w:themeTint="FF" w:themeShade="FF"/>
        </w:rPr>
        <w:t xml:space="preserve"> комплексов гликопротеин-полисахарид в присутствии CaCl</w:t>
      </w:r>
      <w:r w:rsidRPr="222B163A" w:rsidR="222B163A">
        <w:rPr>
          <w:color w:val="000000" w:themeColor="text1" w:themeTint="FF" w:themeShade="FF"/>
          <w:vertAlign w:val="subscript"/>
        </w:rPr>
        <w:t xml:space="preserve">2 </w:t>
      </w:r>
      <w:r w:rsidRPr="222B163A" w:rsidR="222B163A">
        <w:rPr>
          <w:color w:val="000000" w:themeColor="text1" w:themeTint="FF" w:themeShade="FF"/>
        </w:rPr>
        <w:t xml:space="preserve">при синтезе частиц с пектином и </w:t>
      </w:r>
      <w:r w:rsidRPr="222B163A" w:rsidR="222B163A">
        <w:rPr>
          <w:color w:val="000000" w:themeColor="text1" w:themeTint="FF" w:themeShade="FF"/>
        </w:rPr>
        <w:t>фукоиданом</w:t>
      </w:r>
      <w:r w:rsidRPr="222B163A" w:rsidR="222B163A">
        <w:rPr>
          <w:color w:val="000000" w:themeColor="text1" w:themeTint="FF" w:themeShade="FF"/>
        </w:rPr>
        <w:t xml:space="preserve"> происходит меньшее включение лактоферрина по сравнению с контрольными частицами. </w:t>
      </w:r>
    </w:p>
    <w:p w:rsidR="00306DBF" w:rsidP="4C0B042B" w:rsidRDefault="787017C6" w14:paraId="6CB83DDF" w14:textId="016088A8">
      <w:pPr>
        <w:pStyle w:val="ac"/>
        <w:spacing w:before="0" w:beforeAutospacing="off" w:after="0" w:afterAutospacing="off"/>
        <w:ind w:firstLine="397"/>
        <w:rPr>
          <w:i w:val="1"/>
          <w:iCs w:val="1"/>
          <w:color w:val="000000" w:themeColor="text1"/>
        </w:rPr>
      </w:pPr>
      <w:r w:rsidRPr="4C0B042B" w:rsidR="4C0B042B">
        <w:rPr>
          <w:i w:val="1"/>
          <w:iCs w:val="1"/>
          <w:color w:val="000000" w:themeColor="text1" w:themeTint="FF" w:themeShade="FF"/>
        </w:rPr>
        <w:t>Работа проведена при поддержке РНФ</w:t>
      </w:r>
      <w:r w:rsidRPr="4C0B042B" w:rsidR="4C0B042B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4C0B042B" w:rsidR="4C0B042B">
        <w:rPr>
          <w:i w:val="1"/>
          <w:iCs w:val="1"/>
          <w:color w:val="000000" w:themeColor="text1" w:themeTint="FF" w:themeShade="FF"/>
        </w:rPr>
        <w:t>23-45-10026</w:t>
      </w:r>
      <w:r w:rsidRPr="4C0B042B" w:rsidR="4C0B042B">
        <w:rPr>
          <w:i w:val="1"/>
          <w:iCs w:val="1"/>
          <w:color w:val="000000" w:themeColor="text1" w:themeTint="FF" w:themeShade="FF"/>
        </w:rPr>
        <w:t>.</w:t>
      </w:r>
    </w:p>
    <w:p w:rsidR="00306DBF" w:rsidP="7FFEF555" w:rsidRDefault="00306DBF" w14:paraId="3ED90987" w14:textId="77777777">
      <w:pPr>
        <w:pStyle w:val="ac"/>
        <w:spacing w:before="0" w:beforeAutospacing="off" w:after="0" w:afterAutospacing="off"/>
        <w:ind w:firstLine="397"/>
        <w:rPr>
          <w:color w:val="000000" w:themeColor="text1"/>
        </w:rPr>
      </w:pPr>
    </w:p>
    <w:sectPr w:rsidR="00306DBF">
      <w:pgSz w:w="11906" w:h="16838" w:orient="portrait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531E"/>
    <w:rsid w:val="00101A1C"/>
    <w:rsid w:val="00103657"/>
    <w:rsid w:val="00106375"/>
    <w:rsid w:val="00116478"/>
    <w:rsid w:val="00125C12"/>
    <w:rsid w:val="00130241"/>
    <w:rsid w:val="001D2290"/>
    <w:rsid w:val="001E61C2"/>
    <w:rsid w:val="001F0493"/>
    <w:rsid w:val="00204661"/>
    <w:rsid w:val="00222060"/>
    <w:rsid w:val="002264EE"/>
    <w:rsid w:val="0023307C"/>
    <w:rsid w:val="0024419A"/>
    <w:rsid w:val="002F7BB7"/>
    <w:rsid w:val="00306DBF"/>
    <w:rsid w:val="0031361E"/>
    <w:rsid w:val="003844E6"/>
    <w:rsid w:val="00391C38"/>
    <w:rsid w:val="003B76D6"/>
    <w:rsid w:val="004305D6"/>
    <w:rsid w:val="004A26A3"/>
    <w:rsid w:val="004F0EDF"/>
    <w:rsid w:val="00522BF1"/>
    <w:rsid w:val="005234D2"/>
    <w:rsid w:val="00590166"/>
    <w:rsid w:val="005D022B"/>
    <w:rsid w:val="005E5BE9"/>
    <w:rsid w:val="00600103"/>
    <w:rsid w:val="0069427D"/>
    <w:rsid w:val="006D605C"/>
    <w:rsid w:val="006F7A19"/>
    <w:rsid w:val="007213E1"/>
    <w:rsid w:val="00765F59"/>
    <w:rsid w:val="00775389"/>
    <w:rsid w:val="00797838"/>
    <w:rsid w:val="007C36D8"/>
    <w:rsid w:val="007F2744"/>
    <w:rsid w:val="008931BE"/>
    <w:rsid w:val="008C67E3"/>
    <w:rsid w:val="008F20BA"/>
    <w:rsid w:val="00921D45"/>
    <w:rsid w:val="009A66DB"/>
    <w:rsid w:val="009B2F80"/>
    <w:rsid w:val="009B3300"/>
    <w:rsid w:val="009E4C03"/>
    <w:rsid w:val="009F3380"/>
    <w:rsid w:val="00A02163"/>
    <w:rsid w:val="00A314FE"/>
    <w:rsid w:val="00A400DA"/>
    <w:rsid w:val="00B41817"/>
    <w:rsid w:val="00BF36F8"/>
    <w:rsid w:val="00BF4622"/>
    <w:rsid w:val="00BF6BD7"/>
    <w:rsid w:val="00C04FC7"/>
    <w:rsid w:val="00CD00B1"/>
    <w:rsid w:val="00CE2D21"/>
    <w:rsid w:val="00D22306"/>
    <w:rsid w:val="00D42542"/>
    <w:rsid w:val="00D8121C"/>
    <w:rsid w:val="00E173B3"/>
    <w:rsid w:val="00E22189"/>
    <w:rsid w:val="00E74069"/>
    <w:rsid w:val="00EB1F49"/>
    <w:rsid w:val="00F865B3"/>
    <w:rsid w:val="00FB1509"/>
    <w:rsid w:val="00FF1903"/>
    <w:rsid w:val="00FF32FB"/>
    <w:rsid w:val="222B163A"/>
    <w:rsid w:val="4C0B042B"/>
    <w:rsid w:val="787017C6"/>
    <w:rsid w:val="79EE9400"/>
    <w:rsid w:val="7FFEF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91C38"/>
    <w:rPr>
      <w:rFonts w:ascii="Times New Roman" w:hAnsi="Times New Roman"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styleId="a6" w:customStyle="1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c">
    <w:name w:val="Normal (Web)"/>
    <w:basedOn w:val="a"/>
    <w:uiPriority w:val="99"/>
    <w:semiHidden/>
    <w:unhideWhenUsed/>
    <w:rsid w:val="00A400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Lomonosov MSU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Надежда</dc:creator>
  <lastModifiedBy>Мосиевич Даниил</lastModifiedBy>
  <revision>10</revision>
  <dcterms:created xsi:type="dcterms:W3CDTF">2024-02-09T06:01:00.0000000Z</dcterms:created>
  <dcterms:modified xsi:type="dcterms:W3CDTF">2024-03-16T15:45:50.5439524Z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