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highlight w:val="none"/>
        </w:rPr>
      </w:pPr>
      <w:r>
        <w:rPr>
          <w:b/>
          <w:highlight w:val="none"/>
        </w:rPr>
        <w:t>Исследование влияния катионного нитрозильного комплекса железа с</w:t>
      </w:r>
    </w:p>
    <w:p>
      <w:pPr>
        <w:pStyle w:val="style0"/>
        <w:jc w:val="center"/>
        <w:rPr>
          <w:b/>
          <w:highlight w:val="none"/>
        </w:rPr>
      </w:pPr>
      <w:r>
        <w:rPr>
          <w:b/>
          <w:highlight w:val="none"/>
        </w:rPr>
        <w:t>пеницилламиновыми лигандами на модельные мембраны,</w:t>
      </w:r>
    </w:p>
    <w:p>
      <w:pPr>
        <w:pStyle w:val="style0"/>
        <w:jc w:val="center"/>
        <w:rPr>
          <w:highlight w:val="none"/>
        </w:rPr>
      </w:pPr>
      <w:r>
        <w:rPr>
          <w:b/>
          <w:highlight w:val="none"/>
        </w:rPr>
        <w:t>мембраносвязанные ферменты и перекисное окисление липидов</w:t>
      </w:r>
    </w:p>
    <w:p>
      <w:pPr>
        <w:pStyle w:val="style0"/>
        <w:jc w:val="center"/>
        <w:rPr>
          <w:highlight w:val="none"/>
        </w:rPr>
      </w:pPr>
      <w:r>
        <w:rPr>
          <w:b/>
          <w:i/>
          <w:highlight w:val="none"/>
        </w:rPr>
        <w:t>Савушкин М.А.</w:t>
      </w:r>
      <w:r>
        <w:rPr>
          <w:b/>
          <w:i/>
          <w:highlight w:val="none"/>
          <w:vertAlign w:val="superscript"/>
        </w:rPr>
        <w:t>1</w:t>
      </w:r>
      <w:r>
        <w:rPr>
          <w:b/>
          <w:i/>
          <w:highlight w:val="none"/>
        </w:rPr>
        <w:t>, Полетаева Д.А.</w:t>
      </w:r>
      <w:r>
        <w:rPr>
          <w:b/>
          <w:i/>
          <w:highlight w:val="none"/>
          <w:vertAlign w:val="superscript"/>
        </w:rPr>
        <w:t xml:space="preserve"> 2</w:t>
      </w:r>
      <w:r>
        <w:rPr>
          <w:b/>
          <w:i/>
          <w:highlight w:val="none"/>
        </w:rPr>
        <w:t>, Солдатова Ю.В.</w:t>
      </w:r>
      <w:r>
        <w:rPr>
          <w:b/>
          <w:i/>
          <w:highlight w:val="none"/>
          <w:vertAlign w:val="superscript"/>
        </w:rPr>
        <w:t xml:space="preserve"> 2</w:t>
      </w:r>
      <w:r>
        <w:rPr>
          <w:b/>
          <w:i/>
          <w:highlight w:val="none"/>
        </w:rPr>
        <w:t>, Смолина А.В.</w:t>
      </w:r>
      <w:r>
        <w:rPr>
          <w:b/>
          <w:i/>
          <w:highlight w:val="none"/>
          <w:vertAlign w:val="superscript"/>
        </w:rPr>
        <w:t xml:space="preserve"> 2</w:t>
      </w:r>
      <w:r>
        <w:rPr>
          <w:b/>
          <w:i/>
          <w:highlight w:val="none"/>
        </w:rPr>
        <w:t>, Санина Н.А.</w:t>
      </w:r>
      <w:r>
        <w:rPr>
          <w:b/>
          <w:i/>
          <w:highlight w:val="none"/>
          <w:vertAlign w:val="superscript"/>
        </w:rPr>
        <w:t xml:space="preserve"> 2</w:t>
      </w:r>
      <w:r>
        <w:rPr>
          <w:b/>
          <w:i/>
          <w:highlight w:val="none"/>
        </w:rPr>
        <w:t>, Файнгольд И.И.</w:t>
      </w:r>
      <w:r>
        <w:rPr>
          <w:b/>
          <w:i/>
          <w:highlight w:val="none"/>
          <w:vertAlign w:val="superscript"/>
        </w:rPr>
        <w:t xml:space="preserve"> 2</w:t>
      </w:r>
      <w:r>
        <w:rPr>
          <w:b/>
          <w:highlight w:val="none"/>
        </w:rPr>
        <w:t xml:space="preserve"> </w:t>
      </w:r>
    </w:p>
    <w:p>
      <w:pPr>
        <w:pStyle w:val="style0"/>
        <w:jc w:val="center"/>
        <w:rPr>
          <w:highlight w:val="none"/>
        </w:rPr>
      </w:pPr>
      <w:r>
        <w:rPr>
          <w:i/>
          <w:highlight w:val="none"/>
        </w:rPr>
        <w:t xml:space="preserve">Студент, 4 курс специалитета </w:t>
      </w:r>
    </w:p>
    <w:p>
      <w:pPr>
        <w:pStyle w:val="style0"/>
        <w:jc w:val="center"/>
        <w:rPr>
          <w:highlight w:val="none"/>
        </w:rPr>
      </w:pPr>
      <w:r>
        <w:rPr>
          <w:i/>
          <w:highlight w:val="none"/>
          <w:vertAlign w:val="superscript"/>
        </w:rPr>
        <w:t>1</w:t>
      </w:r>
      <w:r>
        <w:rPr>
          <w:i/>
          <w:highlight w:val="none"/>
        </w:rPr>
        <w:t>Московский государственный университет имени М.В. Ломоносова, </w:t>
      </w:r>
    </w:p>
    <w:p>
      <w:pPr>
        <w:pStyle w:val="style0"/>
        <w:jc w:val="center"/>
        <w:rPr>
          <w:highlight w:val="none"/>
        </w:rPr>
      </w:pPr>
      <w:r>
        <w:rPr>
          <w:i/>
          <w:highlight w:val="none"/>
        </w:rPr>
        <w:t>химический факультет, Москва, Россия</w:t>
      </w:r>
    </w:p>
    <w:p>
      <w:pPr>
        <w:pStyle w:val="style0"/>
        <w:jc w:val="center"/>
        <w:rPr>
          <w:i/>
          <w:highlight w:val="none"/>
        </w:rPr>
      </w:pPr>
      <w:r>
        <w:rPr>
          <w:i/>
          <w:highlight w:val="none"/>
          <w:vertAlign w:val="superscript"/>
        </w:rPr>
        <w:t>2</w:t>
      </w:r>
      <w:r>
        <w:rPr>
          <w:i/>
          <w:highlight w:val="none"/>
        </w:rPr>
        <w:t xml:space="preserve"> Федеральный исследовательский центр проблем химической физики и медицинской химии РАН, Черноголовка, Россия</w:t>
      </w:r>
    </w:p>
    <w:p>
      <w:pPr>
        <w:pStyle w:val="style0"/>
        <w:jc w:val="center"/>
        <w:rPr>
          <w:i/>
          <w:color w:val="0000ff"/>
          <w:highlight w:val="none"/>
          <w:u w:val="single"/>
          <w:lang w:val="en-US"/>
        </w:rPr>
      </w:pPr>
      <w:r>
        <w:rPr>
          <w:i/>
          <w:highlight w:val="none"/>
          <w:lang w:val="en-US"/>
        </w:rPr>
        <w:t xml:space="preserve">E-mail: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"mailto:savushkin_maxim@mail.ru" </w:instrText>
      </w:r>
      <w:r>
        <w:rPr>
          <w:highlight w:val="none"/>
        </w:rPr>
        <w:fldChar w:fldCharType="separate"/>
      </w:r>
      <w:r>
        <w:rPr>
          <w:i/>
          <w:color w:val="0000ff"/>
          <w:highlight w:val="none"/>
          <w:u w:val="single"/>
          <w:lang w:val="en-US"/>
        </w:rPr>
        <w:t>savushkin_maxim@mail.ru</w:t>
      </w:r>
      <w:r>
        <w:rPr>
          <w:highlight w:val="none"/>
        </w:rPr>
        <w:fldChar w:fldCharType="end"/>
      </w:r>
    </w:p>
    <w:p>
      <w:pPr>
        <w:pStyle w:val="style0"/>
        <w:jc w:val="center"/>
        <w:rPr>
          <w:highlight w:val="none"/>
          <w:lang w:val="en-US"/>
        </w:rPr>
      </w:pPr>
    </w:p>
    <w:p>
      <w:pPr>
        <w:pStyle w:val="style0"/>
        <w:ind w:firstLine="397"/>
        <w:jc w:val="both"/>
        <w:rPr>
          <w:rStyle w:val="style4130"/>
          <w:highlight w:val="none"/>
        </w:rPr>
      </w:pPr>
      <w:r>
        <w:rPr>
          <w:rStyle w:val="style4130"/>
          <w:highlight w:val="none"/>
        </w:rPr>
        <w:t xml:space="preserve">Биядерные нитрозильные комплексы железа (НКЖ) представляют собой синтетическую модель активных центров природных нитрозильных [2Fe-2S]-белков - резервуаров монооксида азота (NO), регулирующего различные биохимические и физиологические процессы в организме. Благодаря своей способности донировать NO без дополнительной активации в физиологических условиях (в отличие от применяемых в клинике низкомолекулярных доноров NO) НКЖ представляют значительный интерес в медицинской химии. </w:t>
      </w:r>
    </w:p>
    <w:p>
      <w:pPr>
        <w:pStyle w:val="style0"/>
        <w:ind w:firstLine="397"/>
        <w:jc w:val="both"/>
        <w:rPr>
          <w:rStyle w:val="style4130"/>
          <w:highlight w:val="none"/>
        </w:rPr>
      </w:pPr>
      <w:r>
        <w:rPr>
          <w:rStyle w:val="style4130"/>
          <w:highlight w:val="none"/>
        </w:rPr>
        <w:t>В работе в качестве перспективного соединения исследуется катионный нитрозильный комплекс железа с природным тиолигандом-пеницилламином (НКЖ-ПА)</w:t>
      </w:r>
      <w:r>
        <w:rPr>
          <w:highlight w:val="none"/>
        </w:rPr>
        <w:t xml:space="preserve"> </w:t>
      </w:r>
      <w:r>
        <w:rPr>
          <w:rStyle w:val="style4130"/>
          <w:highlight w:val="none"/>
        </w:rPr>
        <w:t>[Fe</w:t>
      </w:r>
      <w:r>
        <w:rPr>
          <w:rStyle w:val="style4130"/>
          <w:highlight w:val="none"/>
          <w:vertAlign w:val="subscript"/>
        </w:rPr>
        <w:t>2</w:t>
      </w:r>
      <w:r>
        <w:rPr>
          <w:rStyle w:val="style4130"/>
          <w:highlight w:val="none"/>
        </w:rPr>
        <w:t>(S(C(CH</w:t>
      </w:r>
      <w:r>
        <w:rPr>
          <w:rStyle w:val="style4130"/>
          <w:highlight w:val="none"/>
          <w:vertAlign w:val="subscript"/>
        </w:rPr>
        <w:t>3</w:t>
      </w:r>
      <w:r>
        <w:rPr>
          <w:rStyle w:val="style4130"/>
          <w:highlight w:val="none"/>
        </w:rPr>
        <w:t>)</w:t>
      </w:r>
      <w:r>
        <w:rPr>
          <w:rStyle w:val="style4130"/>
          <w:highlight w:val="none"/>
          <w:vertAlign w:val="subscript"/>
        </w:rPr>
        <w:t>2</w:t>
      </w:r>
      <w:r>
        <w:rPr>
          <w:rStyle w:val="style4130"/>
          <w:highlight w:val="none"/>
        </w:rPr>
        <w:t>CH(NH</w:t>
      </w:r>
      <w:r>
        <w:rPr>
          <w:rStyle w:val="style4130"/>
          <w:highlight w:val="none"/>
          <w:vertAlign w:val="subscript"/>
        </w:rPr>
        <w:t>3</w:t>
      </w:r>
      <w:r>
        <w:rPr>
          <w:rStyle w:val="style4130"/>
          <w:highlight w:val="none"/>
        </w:rPr>
        <w:t>)COOH))</w:t>
      </w:r>
      <w:r>
        <w:rPr>
          <w:rStyle w:val="style4130"/>
          <w:highlight w:val="none"/>
          <w:vertAlign w:val="subscript"/>
        </w:rPr>
        <w:t>2</w:t>
      </w:r>
      <w:r>
        <w:rPr>
          <w:rStyle w:val="style4130"/>
          <w:highlight w:val="none"/>
        </w:rPr>
        <w:t>(NO)</w:t>
      </w:r>
      <w:r>
        <w:rPr>
          <w:rStyle w:val="style4130"/>
          <w:highlight w:val="none"/>
          <w:vertAlign w:val="subscript"/>
        </w:rPr>
        <w:t>4</w:t>
      </w:r>
      <w:r>
        <w:rPr>
          <w:rStyle w:val="style4130"/>
          <w:highlight w:val="none"/>
        </w:rPr>
        <w:t>]SO</w:t>
      </w:r>
      <w:r>
        <w:rPr>
          <w:rStyle w:val="style4130"/>
          <w:highlight w:val="none"/>
          <w:vertAlign w:val="subscript"/>
        </w:rPr>
        <w:t>4</w:t>
      </w:r>
      <w:r>
        <w:rPr>
          <w:rStyle w:val="style4130"/>
          <w:highlight w:val="none"/>
        </w:rPr>
        <w:t>·5H</w:t>
      </w:r>
      <w:r>
        <w:rPr>
          <w:rStyle w:val="style4130"/>
          <w:highlight w:val="none"/>
          <w:vertAlign w:val="subscript"/>
        </w:rPr>
        <w:t>2</w:t>
      </w:r>
      <w:r>
        <w:rPr>
          <w:rStyle w:val="style4130"/>
          <w:highlight w:val="none"/>
        </w:rPr>
        <w:t xml:space="preserve">O, синтезированный в лаборатории структурной химии ФИЦПХФ и МХРАН. Известны антигипертензивные и противоишемические эффекты данного комплекса в опытах </w:t>
      </w:r>
      <w:r>
        <w:rPr>
          <w:rStyle w:val="style4130"/>
          <w:i/>
          <w:highlight w:val="none"/>
        </w:rPr>
        <w:t>in vivo</w:t>
      </w:r>
      <w:r>
        <w:rPr>
          <w:rStyle w:val="style4130"/>
          <w:highlight w:val="none"/>
        </w:rPr>
        <w:t xml:space="preserve"> [1].</w:t>
      </w:r>
    </w:p>
    <w:p>
      <w:pPr>
        <w:pStyle w:val="style0"/>
        <w:ind w:firstLine="397"/>
        <w:jc w:val="both"/>
        <w:rPr>
          <w:highlight w:val="none"/>
        </w:rPr>
      </w:pPr>
      <w:r>
        <w:rPr>
          <w:highlight w:val="none"/>
        </w:rPr>
        <w:t xml:space="preserve">Цель данной работы – исследовать влияние НКЖ-ПА на модельные мембраны, мембраносвязанные ферменты и перекисное окисление липидов (ПОЛ). </w:t>
      </w:r>
    </w:p>
    <w:p>
      <w:pPr>
        <w:pStyle w:val="style0"/>
        <w:ind w:firstLine="397"/>
        <w:jc w:val="both"/>
        <w:rPr>
          <w:highlight w:val="none"/>
        </w:rPr>
      </w:pPr>
      <w:r>
        <w:rPr>
          <w:highlight w:val="none"/>
        </w:rPr>
        <w:t xml:space="preserve">Взаимодействие с модельной мембраной фосфатидилхолиновых липосом оценивали с помощью метода флуоресцентных зондов. Антиоксидантную активность оценивали спектрофотометрически по ТБК-активному тесту и методом хемилюминесценции люминола. Каталитическую активность мембраносвязанных ферментов моноаминооксидазы А (МАО-А) и моноаминооксидазы В (МАО-В) оценивали в митохондриях головного мозга мышей методом, основанным на спектрофотометрическом определении количества аммиака, выделяющегося в результате ферментативной реакции биогенных аминов серотонина и бензиламина ферментами МАО-А и МАО-В. </w:t>
      </w:r>
    </w:p>
    <w:p>
      <w:pPr>
        <w:pStyle w:val="style0"/>
        <w:ind w:firstLine="397"/>
        <w:jc w:val="both"/>
        <w:rPr>
          <w:highlight w:val="none"/>
        </w:rPr>
      </w:pPr>
      <w:r>
        <w:rPr>
          <w:highlight w:val="none"/>
        </w:rPr>
        <w:t xml:space="preserve">В работе установлено, что НКЖ-ПА </w:t>
      </w:r>
      <w:bookmarkStart w:id="0" w:name="_Hlk126075091"/>
      <w:bookmarkStart w:id="1" w:name="_Hlk56791833"/>
      <w:r>
        <w:rPr>
          <w:highlight w:val="none"/>
        </w:rPr>
        <w:t>выступает тушителем триплетных и синглетных возбужденных состояний зондов пирена и эозина Y в области жирнокислотных остатков и полярных головок фосфолипидов, что свидетельствует об их способности включаться в гидрофильные и гидрофобные сайты фосфолипидных мембран</w:t>
      </w:r>
      <w:bookmarkEnd w:id="0"/>
      <w:bookmarkEnd w:id="1"/>
      <w:r>
        <w:rPr>
          <w:highlight w:val="none"/>
        </w:rPr>
        <w:t>.</w:t>
      </w:r>
    </w:p>
    <w:p>
      <w:pPr>
        <w:pStyle w:val="style0"/>
        <w:ind w:firstLine="397"/>
        <w:jc w:val="both"/>
        <w:rPr>
          <w:highlight w:val="none"/>
        </w:rPr>
      </w:pPr>
      <w:r>
        <w:rPr>
          <w:rStyle w:val="style4130"/>
          <w:highlight w:val="none"/>
        </w:rPr>
        <w:t>НКЖ-ПА эффективно ингибирует процесс спонтанного ПОЛ, за счет аддитивного вклада высвобождения NO и пеницилламинового лиганда (IC50 = 21,4 мкМ) и снижает хемилюминесценцию люминола с IC50 = 3,6 мкМ. Показано, что НКЖ-ПА ингибирует активность МАО-А (основной источник АФК в сердце) в диапазоне концентраций 50–1000 мкМ.</w:t>
      </w:r>
      <w:r>
        <w:rPr>
          <w:rStyle w:val="style4124"/>
          <w:highlight w:val="none"/>
        </w:rPr>
        <w:t xml:space="preserve"> </w:t>
      </w:r>
      <w:r>
        <w:rPr>
          <w:rStyle w:val="style4130"/>
          <w:highlight w:val="none"/>
        </w:rPr>
        <w:t>НКЖ-ПА не оказывает влияния на каталитическую активность МАО-В.</w:t>
      </w:r>
      <w:r>
        <w:rPr>
          <w:highlight w:val="none"/>
        </w:rPr>
        <w:t xml:space="preserve"> </w:t>
      </w:r>
    </w:p>
    <w:p>
      <w:pPr>
        <w:pStyle w:val="style0"/>
        <w:ind w:firstLine="397"/>
        <w:jc w:val="both"/>
        <w:rPr>
          <w:rStyle w:val="style4130"/>
          <w:highlight w:val="none"/>
        </w:rPr>
      </w:pPr>
      <w:r>
        <w:rPr>
          <w:rStyle w:val="style4130"/>
          <w:highlight w:val="none"/>
        </w:rPr>
        <w:t>Таким образом, оцененные биологические эффекты НКЖ-ПА открывают новые перспективы его практического применения в терапии социально значимых заболеваний, особенно сердечно-сосудистых.</w:t>
      </w:r>
    </w:p>
    <w:p>
      <w:pPr>
        <w:pStyle w:val="style0"/>
        <w:ind w:firstLine="397"/>
        <w:jc w:val="both"/>
        <w:rPr>
          <w:rStyle w:val="style4130"/>
          <w:i/>
          <w:iCs/>
          <w:highlight w:val="none"/>
        </w:rPr>
      </w:pPr>
      <w:r>
        <w:rPr>
          <w:rStyle w:val="style4130"/>
          <w:i/>
          <w:iCs/>
          <w:highlight w:val="none"/>
        </w:rPr>
        <w:t>Работа выполнена по теме государственного задания №124020500019-2.</w:t>
      </w:r>
    </w:p>
    <w:p>
      <w:pPr>
        <w:pStyle w:val="style0"/>
        <w:jc w:val="center"/>
        <w:rPr>
          <w:b/>
          <w:highlight w:val="none"/>
        </w:rPr>
      </w:pPr>
      <w:r>
        <w:rPr>
          <w:b/>
          <w:highlight w:val="none"/>
        </w:rPr>
        <w:t>Литература</w:t>
      </w:r>
    </w:p>
    <w:p>
      <w:pPr>
        <w:pStyle w:val="style0"/>
        <w:jc w:val="both"/>
        <w:rPr>
          <w:highlight w:val="none"/>
        </w:rPr>
      </w:pPr>
      <w:r>
        <w:rPr>
          <w:highlight w:val="none"/>
          <w:lang w:val="en-US"/>
        </w:rPr>
        <w:t xml:space="preserve">1.   </w:t>
      </w:r>
      <w:r>
        <w:rPr>
          <w:highlight w:val="none"/>
        </w:rPr>
        <w:t>Санина Н.А., Серебрякова Л.И., Шульженко В.С. и др. Применение биядерного сера-нитрозильного комплекса железа катионного типа в качестве вазодилататорного лекарственного средства // Патент РФ № 2460531 – 2012.</w:t>
      </w:r>
    </w:p>
    <w:sectPr>
      <w:pgSz w:w="11906" w:h="16838" w:orient="portrait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000020203"/>
    <w:charset w:val="cc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000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Times New Roman" w:hAnsi="Calibri"/>
        <w:color w:val="000000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link w:val="style4097"/>
    <w:qFormat/>
    <w:pPr/>
    <w:rPr>
      <w:rFonts w:ascii="Times New Roman" w:hAnsi="Times New Roman"/>
      <w:sz w:val="24"/>
    </w:rPr>
  </w:style>
  <w:style w:type="paragraph" w:styleId="style1">
    <w:name w:val="heading 1"/>
    <w:basedOn w:val="style0"/>
    <w:next w:val="style0"/>
    <w:link w:val="style4110"/>
    <w:qFormat/>
    <w:uiPriority w:val="9"/>
    <w:pPr>
      <w:keepNext/>
      <w:keepLines/>
      <w:spacing w:before="480" w:after="120"/>
      <w:outlineLvl w:val="0"/>
    </w:pPr>
    <w:rPr>
      <w:b/>
      <w:sz w:val="48"/>
    </w:rPr>
  </w:style>
  <w:style w:type="paragraph" w:styleId="style2">
    <w:name w:val="heading 2"/>
    <w:basedOn w:val="style0"/>
    <w:next w:val="style0"/>
    <w:link w:val="style4131"/>
    <w:qFormat/>
    <w:uiPriority w:val="9"/>
    <w:pPr>
      <w:keepNext/>
      <w:keepLines/>
      <w:spacing w:before="360" w:after="80"/>
      <w:outlineLvl w:val="1"/>
    </w:pPr>
    <w:rPr>
      <w:b/>
      <w:sz w:val="3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80" w:after="80"/>
      <w:outlineLvl w:val="2"/>
    </w:pPr>
    <w:rPr>
      <w:b/>
      <w:sz w:val="28"/>
    </w:rPr>
  </w:style>
  <w:style w:type="paragraph" w:styleId="style4">
    <w:name w:val="heading 4"/>
    <w:basedOn w:val="style0"/>
    <w:next w:val="style0"/>
    <w:link w:val="style4128"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0"/>
    <w:next w:val="style0"/>
    <w:link w:val="style4109"/>
    <w:qFormat/>
    <w:uiPriority w:val="9"/>
    <w:pPr>
      <w:keepNext/>
      <w:keepLines/>
      <w:spacing w:before="220" w:after="40"/>
      <w:outlineLvl w:val="4"/>
    </w:pPr>
    <w:rPr>
      <w:b/>
      <w:sz w:val="22"/>
    </w:rPr>
  </w:style>
  <w:style w:type="paragraph" w:styleId="style6">
    <w:name w:val="heading 6"/>
    <w:basedOn w:val="style0"/>
    <w:next w:val="style0"/>
    <w:link w:val="style4132"/>
    <w:qFormat/>
    <w:uiPriority w:val="9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Normal_cbdd7c1b-ff43-4cad-9383-b06d5cce505b"/>
    <w:next w:val="style4097"/>
    <w:rPr>
      <w:rFonts w:ascii="Times New Roman" w:hAnsi="Times New Roman"/>
      <w:sz w:val="24"/>
    </w:rPr>
  </w:style>
  <w:style w:type="paragraph" w:styleId="style20">
    <w:name w:val="toc 2"/>
    <w:next w:val="style0"/>
    <w:link w:val="style4098"/>
    <w:uiPriority w:val="39"/>
    <w:pPr>
      <w:ind w:left="200"/>
    </w:pPr>
    <w:rPr>
      <w:rFonts w:ascii="XO Thames" w:hAnsi="XO Thames"/>
      <w:sz w:val="28"/>
    </w:rPr>
  </w:style>
  <w:style w:type="character" w:customStyle="1" w:styleId="style4098">
    <w:name w:val="Оглавление 2 Знак"/>
    <w:next w:val="style4098"/>
    <w:link w:val="style20"/>
    <w:rPr>
      <w:rFonts w:ascii="XO Thames" w:hAnsi="XO Thames"/>
      <w:sz w:val="28"/>
    </w:rPr>
  </w:style>
  <w:style w:type="paragraph" w:styleId="style22">
    <w:name w:val="toc 4"/>
    <w:next w:val="style0"/>
    <w:link w:val="style4099"/>
    <w:uiPriority w:val="39"/>
    <w:pPr>
      <w:ind w:left="600"/>
    </w:pPr>
    <w:rPr>
      <w:rFonts w:ascii="XO Thames" w:hAnsi="XO Thames"/>
      <w:sz w:val="28"/>
    </w:rPr>
  </w:style>
  <w:style w:type="character" w:customStyle="1" w:styleId="style4099">
    <w:name w:val="Оглавление 4 Знак"/>
    <w:next w:val="style4099"/>
    <w:link w:val="style22"/>
    <w:rPr>
      <w:rFonts w:ascii="XO Thames" w:hAnsi="XO Thames"/>
      <w:sz w:val="28"/>
    </w:rPr>
  </w:style>
  <w:style w:type="paragraph" w:styleId="style24">
    <w:name w:val="toc 6"/>
    <w:next w:val="style0"/>
    <w:link w:val="style4100"/>
    <w:uiPriority w:val="39"/>
    <w:pPr>
      <w:ind w:left="1000"/>
    </w:pPr>
    <w:rPr>
      <w:rFonts w:ascii="XO Thames" w:hAnsi="XO Thames"/>
      <w:sz w:val="28"/>
    </w:rPr>
  </w:style>
  <w:style w:type="character" w:customStyle="1" w:styleId="style4100">
    <w:name w:val="Оглавление 6 Знак"/>
    <w:next w:val="style4100"/>
    <w:link w:val="style24"/>
    <w:rPr>
      <w:rFonts w:ascii="XO Thames" w:hAnsi="XO Thames"/>
      <w:sz w:val="28"/>
    </w:rPr>
  </w:style>
  <w:style w:type="paragraph" w:styleId="style25">
    <w:name w:val="toc 7"/>
    <w:next w:val="style0"/>
    <w:link w:val="style4101"/>
    <w:uiPriority w:val="39"/>
    <w:pPr>
      <w:ind w:left="1200"/>
    </w:pPr>
    <w:rPr>
      <w:rFonts w:ascii="XO Thames" w:hAnsi="XO Thames"/>
      <w:sz w:val="28"/>
    </w:rPr>
  </w:style>
  <w:style w:type="character" w:customStyle="1" w:styleId="style4101">
    <w:name w:val="Оглавление 7 Знак"/>
    <w:next w:val="style4101"/>
    <w:link w:val="style25"/>
    <w:rPr>
      <w:rFonts w:ascii="XO Thames" w:hAnsi="XO Thames"/>
      <w:sz w:val="28"/>
    </w:rPr>
  </w:style>
  <w:style w:type="character" w:customStyle="1" w:styleId="style4102">
    <w:name w:val="Заголовок 3 Знак"/>
    <w:basedOn w:val="style4097"/>
    <w:next w:val="style4102"/>
    <w:link w:val="style3"/>
    <w:rPr>
      <w:rFonts w:ascii="Times New Roman" w:hAnsi="Times New Roman"/>
      <w:b/>
      <w:sz w:val="28"/>
    </w:rPr>
  </w:style>
  <w:style w:type="paragraph" w:customStyle="1" w:styleId="style4103">
    <w:name w:val="Default Paragraph Font_3f62301f-57a2-4d52-96c3-21d2ca9f7678"/>
    <w:next w:val="style4103"/>
    <w:pPr/>
  </w:style>
  <w:style w:type="paragraph" w:customStyle="1" w:styleId="style4104">
    <w:name w:val="Неразрешенное упоминание1"/>
    <w:basedOn w:val="style4103"/>
    <w:next w:val="style4104"/>
    <w:link w:val="style4105"/>
    <w:pPr/>
    <w:rPr>
      <w:color w:val="605e5c"/>
      <w:shd w:val="clear" w:color="auto" w:fill="e1dfdd"/>
    </w:rPr>
  </w:style>
  <w:style w:type="character" w:customStyle="1" w:styleId="style4105">
    <w:name w:val="Неразрешенное упоминание2"/>
    <w:basedOn w:val="style65"/>
    <w:next w:val="style4105"/>
    <w:link w:val="style4104"/>
    <w:rPr>
      <w:color w:val="605e5c"/>
      <w:shd w:val="clear" w:color="auto" w:fill="e1dfdd"/>
    </w:rPr>
  </w:style>
  <w:style w:type="paragraph" w:styleId="style21">
    <w:name w:val="toc 3"/>
    <w:next w:val="style0"/>
    <w:link w:val="style4106"/>
    <w:uiPriority w:val="39"/>
    <w:pPr>
      <w:ind w:left="400"/>
    </w:pPr>
    <w:rPr>
      <w:rFonts w:ascii="XO Thames" w:hAnsi="XO Thames"/>
      <w:sz w:val="28"/>
    </w:rPr>
  </w:style>
  <w:style w:type="character" w:customStyle="1" w:styleId="style4106">
    <w:name w:val="Оглавление 3 Знак"/>
    <w:next w:val="style4106"/>
    <w:link w:val="style21"/>
    <w:rPr>
      <w:rFonts w:ascii="XO Thames" w:hAnsi="XO Thames"/>
      <w:sz w:val="28"/>
    </w:rPr>
  </w:style>
  <w:style w:type="paragraph" w:customStyle="1" w:styleId="style4107">
    <w:name w:val="Placeholder Text_1c48d095-d510-4c8d-80d4-7c46929384a6"/>
    <w:basedOn w:val="style4103"/>
    <w:next w:val="style4107"/>
    <w:link w:val="style156"/>
    <w:pPr/>
    <w:rPr>
      <w:color w:val="808080"/>
    </w:rPr>
  </w:style>
  <w:style w:type="character" w:styleId="style156">
    <w:name w:val="Placeholder Text"/>
    <w:basedOn w:val="style65"/>
    <w:next w:val="style156"/>
    <w:link w:val="style4107"/>
    <w:rPr>
      <w:color w:val="808080"/>
    </w:rPr>
  </w:style>
  <w:style w:type="paragraph" w:styleId="style157">
    <w:name w:val="No Spacing"/>
    <w:next w:val="style157"/>
    <w:link w:val="style4108"/>
    <w:pPr/>
    <w:rPr>
      <w:sz w:val="22"/>
    </w:rPr>
  </w:style>
  <w:style w:type="character" w:customStyle="1" w:styleId="style4108">
    <w:name w:val="Без интервала Знак"/>
    <w:next w:val="style4108"/>
    <w:link w:val="style157"/>
    <w:rPr>
      <w:sz w:val="22"/>
    </w:rPr>
  </w:style>
  <w:style w:type="character" w:customStyle="1" w:styleId="style4109">
    <w:name w:val="Заголовок 5 Знак"/>
    <w:basedOn w:val="style4097"/>
    <w:next w:val="style4109"/>
    <w:link w:val="style5"/>
    <w:rPr>
      <w:rFonts w:ascii="Times New Roman" w:hAnsi="Times New Roman"/>
      <w:b/>
      <w:sz w:val="22"/>
    </w:rPr>
  </w:style>
  <w:style w:type="character" w:customStyle="1" w:styleId="style4110">
    <w:name w:val="Заголовок 1 Знак"/>
    <w:basedOn w:val="style4097"/>
    <w:next w:val="style4110"/>
    <w:link w:val="style1"/>
    <w:rPr>
      <w:rFonts w:ascii="Times New Roman" w:hAnsi="Times New Roman"/>
      <w:b/>
      <w:sz w:val="48"/>
    </w:rPr>
  </w:style>
  <w:style w:type="paragraph" w:customStyle="1" w:styleId="style4111">
    <w:name w:val="Hyperlink_ce8af3ed-5534-4cf9-87ad-fee12659de8b"/>
    <w:basedOn w:val="style4103"/>
    <w:next w:val="style4111"/>
    <w:link w:val="style85"/>
    <w:pPr/>
    <w:rPr>
      <w:color w:val="0000ff"/>
      <w:u w:val="single"/>
    </w:rPr>
  </w:style>
  <w:style w:type="character" w:styleId="style85">
    <w:name w:val="Hyperlink"/>
    <w:basedOn w:val="style65"/>
    <w:next w:val="style85"/>
    <w:link w:val="style4111"/>
    <w:rPr>
      <w:color w:val="0000ff"/>
      <w:u w:val="single"/>
    </w:rPr>
  </w:style>
  <w:style w:type="paragraph" w:customStyle="1" w:styleId="style4112">
    <w:name w:val="Footnote"/>
    <w:next w:val="style4112"/>
    <w:link w:val="style4113"/>
    <w:pPr>
      <w:ind w:firstLine="851"/>
      <w:jc w:val="both"/>
    </w:pPr>
    <w:rPr>
      <w:rFonts w:ascii="XO Thames" w:hAnsi="XO Thames"/>
      <w:sz w:val="22"/>
    </w:rPr>
  </w:style>
  <w:style w:type="character" w:customStyle="1" w:styleId="style4113">
    <w:name w:val="Footnote"/>
    <w:next w:val="style4113"/>
    <w:link w:val="style4112"/>
    <w:rPr>
      <w:rFonts w:ascii="XO Thames" w:hAnsi="XO Thames"/>
      <w:sz w:val="22"/>
    </w:rPr>
  </w:style>
  <w:style w:type="paragraph" w:styleId="style19">
    <w:name w:val="toc 1"/>
    <w:next w:val="style0"/>
    <w:link w:val="style4114"/>
    <w:uiPriority w:val="39"/>
    <w:pPr/>
    <w:rPr>
      <w:rFonts w:ascii="XO Thames" w:hAnsi="XO Thames"/>
      <w:b/>
      <w:sz w:val="28"/>
    </w:rPr>
  </w:style>
  <w:style w:type="character" w:customStyle="1" w:styleId="style4114">
    <w:name w:val="Оглавление 1 Знак"/>
    <w:next w:val="style4114"/>
    <w:link w:val="style19"/>
    <w:rPr>
      <w:rFonts w:ascii="XO Thames" w:hAnsi="XO Thames"/>
      <w:b/>
      <w:sz w:val="28"/>
    </w:rPr>
  </w:style>
  <w:style w:type="paragraph" w:customStyle="1" w:styleId="style4115">
    <w:name w:val="Header and Footer"/>
    <w:next w:val="style4115"/>
    <w:link w:val="style4116"/>
    <w:pPr>
      <w:jc w:val="both"/>
    </w:pPr>
    <w:rPr>
      <w:rFonts w:ascii="XO Thames" w:hAnsi="XO Thames"/>
    </w:rPr>
  </w:style>
  <w:style w:type="character" w:customStyle="1" w:styleId="style4116">
    <w:name w:val="Header and Footer"/>
    <w:next w:val="style4116"/>
    <w:link w:val="style4115"/>
    <w:rPr>
      <w:rFonts w:ascii="XO Thames" w:hAnsi="XO Thames"/>
      <w:sz w:val="20"/>
    </w:rPr>
  </w:style>
  <w:style w:type="paragraph" w:styleId="style27">
    <w:name w:val="toc 9"/>
    <w:next w:val="style0"/>
    <w:link w:val="style4117"/>
    <w:uiPriority w:val="39"/>
    <w:pPr>
      <w:ind w:left="1600"/>
    </w:pPr>
    <w:rPr>
      <w:rFonts w:ascii="XO Thames" w:hAnsi="XO Thames"/>
      <w:sz w:val="28"/>
    </w:rPr>
  </w:style>
  <w:style w:type="character" w:customStyle="1" w:styleId="style4117">
    <w:name w:val="Оглавление 9 Знак"/>
    <w:next w:val="style4117"/>
    <w:link w:val="style27"/>
    <w:rPr>
      <w:rFonts w:ascii="XO Thames" w:hAnsi="XO Thames"/>
      <w:sz w:val="28"/>
    </w:rPr>
  </w:style>
  <w:style w:type="paragraph" w:styleId="style153">
    <w:name w:val="Balloon Text"/>
    <w:basedOn w:val="style0"/>
    <w:next w:val="style153"/>
    <w:link w:val="style4118"/>
    <w:pPr/>
    <w:rPr>
      <w:rFonts w:ascii="Segoe UI" w:hAnsi="Segoe UI"/>
      <w:sz w:val="18"/>
    </w:rPr>
  </w:style>
  <w:style w:type="character" w:customStyle="1" w:styleId="style4118">
    <w:name w:val="Текст выноски Знак"/>
    <w:basedOn w:val="style4097"/>
    <w:next w:val="style4118"/>
    <w:link w:val="style153"/>
    <w:rPr>
      <w:rFonts w:ascii="Segoe UI" w:hAnsi="Segoe UI"/>
      <w:sz w:val="18"/>
    </w:rPr>
  </w:style>
  <w:style w:type="paragraph" w:styleId="style26">
    <w:name w:val="toc 8"/>
    <w:next w:val="style0"/>
    <w:link w:val="style4119"/>
    <w:uiPriority w:val="39"/>
    <w:pPr>
      <w:ind w:left="1400"/>
    </w:pPr>
    <w:rPr>
      <w:rFonts w:ascii="XO Thames" w:hAnsi="XO Thames"/>
      <w:sz w:val="28"/>
    </w:rPr>
  </w:style>
  <w:style w:type="character" w:customStyle="1" w:styleId="style4119">
    <w:name w:val="Оглавление 8 Знак"/>
    <w:next w:val="style4119"/>
    <w:link w:val="style26"/>
    <w:rPr>
      <w:rFonts w:ascii="XO Thames" w:hAnsi="XO Thames"/>
      <w:sz w:val="28"/>
    </w:rPr>
  </w:style>
  <w:style w:type="paragraph" w:styleId="style179">
    <w:name w:val="List Paragraph"/>
    <w:basedOn w:val="style0"/>
    <w:next w:val="style179"/>
    <w:link w:val="style4120"/>
    <w:pPr>
      <w:ind w:left="720"/>
      <w:contextualSpacing/>
    </w:pPr>
    <w:rPr/>
  </w:style>
  <w:style w:type="character" w:customStyle="1" w:styleId="style4120">
    <w:name w:val="Абзац списка Знак"/>
    <w:basedOn w:val="style4097"/>
    <w:next w:val="style4120"/>
    <w:link w:val="style179"/>
    <w:rPr>
      <w:rFonts w:ascii="Times New Roman" w:hAnsi="Times New Roman"/>
      <w:sz w:val="24"/>
    </w:rPr>
  </w:style>
  <w:style w:type="paragraph" w:styleId="style23">
    <w:name w:val="toc 5"/>
    <w:next w:val="style0"/>
    <w:link w:val="style4121"/>
    <w:uiPriority w:val="39"/>
    <w:pPr>
      <w:ind w:left="800"/>
    </w:pPr>
    <w:rPr>
      <w:rFonts w:ascii="XO Thames" w:hAnsi="XO Thames"/>
      <w:sz w:val="28"/>
    </w:rPr>
  </w:style>
  <w:style w:type="character" w:customStyle="1" w:styleId="style4121">
    <w:name w:val="Оглавление 5 Знак"/>
    <w:next w:val="style4121"/>
    <w:link w:val="style23"/>
    <w:rPr>
      <w:rFonts w:ascii="XO Thames" w:hAnsi="XO Thames"/>
      <w:sz w:val="28"/>
    </w:rPr>
  </w:style>
  <w:style w:type="paragraph" w:styleId="style74">
    <w:name w:val="Subtitle"/>
    <w:basedOn w:val="style0"/>
    <w:next w:val="style0"/>
    <w:link w:val="style4122"/>
    <w:qFormat/>
    <w:uiPriority w:val="11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style4122">
    <w:name w:val="Подзаголовок Знак"/>
    <w:basedOn w:val="style4097"/>
    <w:next w:val="style4122"/>
    <w:link w:val="style74"/>
    <w:rPr>
      <w:rFonts w:ascii="Georgia" w:hAnsi="Georgia"/>
      <w:i/>
      <w:color w:val="666666"/>
      <w:sz w:val="48"/>
    </w:rPr>
  </w:style>
  <w:style w:type="paragraph" w:customStyle="1" w:styleId="style4123">
    <w:name w:val="hwtze"/>
    <w:basedOn w:val="style4103"/>
    <w:next w:val="style4123"/>
    <w:link w:val="style4124"/>
    <w:pPr/>
  </w:style>
  <w:style w:type="character" w:customStyle="1" w:styleId="style4124">
    <w:name w:val="hwtze"/>
    <w:basedOn w:val="style65"/>
    <w:next w:val="style4124"/>
    <w:link w:val="style4123"/>
  </w:style>
  <w:style w:type="paragraph" w:customStyle="1" w:styleId="style4125">
    <w:name w:val="toc 10"/>
    <w:next w:val="style0"/>
    <w:link w:val="style4126"/>
    <w:uiPriority w:val="39"/>
    <w:pPr>
      <w:ind w:left="1800"/>
    </w:pPr>
    <w:rPr>
      <w:rFonts w:ascii="XO Thames" w:hAnsi="XO Thames"/>
      <w:sz w:val="28"/>
    </w:rPr>
  </w:style>
  <w:style w:type="character" w:customStyle="1" w:styleId="style4126">
    <w:name w:val="toc 10"/>
    <w:next w:val="style4126"/>
    <w:link w:val="style4125"/>
    <w:rPr>
      <w:rFonts w:ascii="XO Thames" w:hAnsi="XO Thames"/>
      <w:sz w:val="28"/>
    </w:rPr>
  </w:style>
  <w:style w:type="paragraph" w:styleId="style62">
    <w:name w:val="Title"/>
    <w:basedOn w:val="style0"/>
    <w:next w:val="style0"/>
    <w:link w:val="style4127"/>
    <w:qFormat/>
    <w:uiPriority w:val="10"/>
    <w:pPr>
      <w:keepNext/>
      <w:keepLines/>
      <w:spacing w:before="480" w:after="120"/>
    </w:pPr>
    <w:rPr>
      <w:b/>
      <w:sz w:val="72"/>
    </w:rPr>
  </w:style>
  <w:style w:type="character" w:customStyle="1" w:styleId="style4127">
    <w:name w:val="Заголовок Знак"/>
    <w:basedOn w:val="style4097"/>
    <w:next w:val="style4127"/>
    <w:link w:val="style62"/>
    <w:rPr>
      <w:rFonts w:ascii="Times New Roman" w:hAnsi="Times New Roman"/>
      <w:b/>
      <w:sz w:val="72"/>
    </w:rPr>
  </w:style>
  <w:style w:type="character" w:customStyle="1" w:styleId="style4128">
    <w:name w:val="Заголовок 4 Знак"/>
    <w:basedOn w:val="style4097"/>
    <w:next w:val="style4128"/>
    <w:link w:val="style4"/>
    <w:rPr>
      <w:rFonts w:ascii="Times New Roman" w:hAnsi="Times New Roman"/>
      <w:b/>
      <w:sz w:val="24"/>
    </w:rPr>
  </w:style>
  <w:style w:type="paragraph" w:customStyle="1" w:styleId="style4129">
    <w:name w:val="rynqvb"/>
    <w:basedOn w:val="style4103"/>
    <w:next w:val="style4129"/>
    <w:link w:val="style4130"/>
    <w:pPr/>
  </w:style>
  <w:style w:type="character" w:customStyle="1" w:styleId="style4130">
    <w:name w:val="rynqvb"/>
    <w:basedOn w:val="style65"/>
    <w:next w:val="style4130"/>
    <w:link w:val="style4129"/>
  </w:style>
  <w:style w:type="character" w:customStyle="1" w:styleId="style4131">
    <w:name w:val="Заголовок 2 Знак"/>
    <w:basedOn w:val="style4097"/>
    <w:next w:val="style4131"/>
    <w:link w:val="style2"/>
    <w:rPr>
      <w:rFonts w:ascii="Times New Roman" w:hAnsi="Times New Roman"/>
      <w:b/>
      <w:sz w:val="36"/>
    </w:rPr>
  </w:style>
  <w:style w:type="character" w:customStyle="1" w:styleId="style4132">
    <w:name w:val="Заголовок 6 Знак"/>
    <w:basedOn w:val="style4097"/>
    <w:next w:val="style4132"/>
    <w:link w:val="style6"/>
    <w:rPr>
      <w:rFonts w:ascii="Times New Roman" w:hAnsi="Times New Roman"/>
      <w:b/>
      <w:sz w:val="20"/>
    </w:rPr>
  </w:style>
  <w:style w:type="table" w:customStyle="1" w:styleId="style4133">
    <w:name w:val="Table Normal"/>
    <w:next w:val="style4133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377</Words>
  <Pages>1</Pages>
  <Characters>2880</Characters>
  <Application>WPS Office</Application>
  <DocSecurity>0</DocSecurity>
  <Paragraphs>20</Paragraphs>
  <ScaleCrop>false</ScaleCrop>
  <LinksUpToDate>false</LinksUpToDate>
  <CharactersWithSpaces>3247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2024-03-17T16:25:46Z</dcterms:created>
  <dc:creator>WPS Office</dc:creator>
  <lastModifiedBy>21051182G</lastModifiedBy>
  <dcterms:modified xsi:type="dcterms:W3CDTF">2024-03-17T16:25:46Z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