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77006F" w:rsidR="00130241" w:rsidRDefault="005808F2" w:rsidP="00580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08F2">
        <w:rPr>
          <w:b/>
          <w:color w:val="000000"/>
        </w:rPr>
        <w:t>Экспрессия опухолевых маркеров в клетках стандартных линий A431 и MCF7</w:t>
      </w:r>
      <w:r w:rsidR="00921D45">
        <w:rPr>
          <w:b/>
          <w:color w:val="000000"/>
        </w:rPr>
        <w:t xml:space="preserve"> </w:t>
      </w:r>
    </w:p>
    <w:p w14:paraId="2598FCA9" w14:textId="77777777" w:rsidR="005808F2" w:rsidRDefault="00580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808F2">
        <w:rPr>
          <w:b/>
          <w:i/>
          <w:color w:val="000000"/>
        </w:rPr>
        <w:t>Сулима А.О., Моисеенко В.Л.</w:t>
      </w:r>
    </w:p>
    <w:p w14:paraId="00000003" w14:textId="64BD5A3A" w:rsidR="00130241" w:rsidRDefault="00580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08F2">
        <w:rPr>
          <w:i/>
          <w:color w:val="000000"/>
        </w:rPr>
        <w:t>Студент, 1 курс специалитета</w:t>
      </w:r>
    </w:p>
    <w:p w14:paraId="00000004" w14:textId="4F3B47C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657ACD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5808F2">
        <w:rPr>
          <w:i/>
          <w:color w:val="000000"/>
        </w:rPr>
        <w:t xml:space="preserve"> </w:t>
      </w:r>
      <w:r w:rsidR="005808F2" w:rsidRPr="005808F2">
        <w:rPr>
          <w:i/>
          <w:color w:val="000000"/>
          <w:u w:val="single"/>
        </w:rPr>
        <w:t>sulimaanyta@icloud.com</w:t>
      </w:r>
      <w:r w:rsidRPr="005808F2">
        <w:rPr>
          <w:i/>
          <w:color w:val="000000"/>
          <w:u w:val="single"/>
        </w:rPr>
        <w:t xml:space="preserve"> </w:t>
      </w:r>
    </w:p>
    <w:p w14:paraId="03223DC9" w14:textId="50EEB669" w:rsidR="007C36D8" w:rsidRDefault="005808F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08F2">
        <w:rPr>
          <w:color w:val="000000"/>
        </w:rPr>
        <w:t xml:space="preserve">Рецептор эпидермального фактора роста EGFR – важный опухолевый маркер, индуцирующий пролиферацию и дифференцировку клеток [1]. Маркер CD133/Prom1 связан с ранними этапами дифференцировки клеток и часто используется для оценки злокачественности опухоли [2]. Известно, что в опухолевых клетках повышено содержание </w:t>
      </w:r>
      <w:proofErr w:type="spellStart"/>
      <w:r w:rsidRPr="005808F2">
        <w:rPr>
          <w:color w:val="000000"/>
        </w:rPr>
        <w:t>нуклеолина</w:t>
      </w:r>
      <w:proofErr w:type="spellEnd"/>
      <w:r w:rsidRPr="005808F2">
        <w:rPr>
          <w:color w:val="000000"/>
        </w:rPr>
        <w:t xml:space="preserve">, NCL, который может служить мишенью для противоопухолевого </w:t>
      </w:r>
      <w:proofErr w:type="spellStart"/>
      <w:r w:rsidRPr="005808F2">
        <w:rPr>
          <w:color w:val="000000"/>
        </w:rPr>
        <w:t>аптамера</w:t>
      </w:r>
      <w:proofErr w:type="spellEnd"/>
      <w:r w:rsidRPr="005808F2">
        <w:rPr>
          <w:color w:val="000000"/>
        </w:rPr>
        <w:t xml:space="preserve"> AS1411 [3]. Оценка экспрессии опухолевых маркеров используется для диагностики и определения тактики терапии у пациентов. Наиболее часто экспрессию гена определяют по количеству мРНК при помощи ПЦР в реальном времени (ПЦР-РВ).</w:t>
      </w:r>
    </w:p>
    <w:p w14:paraId="59D3C119" w14:textId="77777777" w:rsidR="005808F2" w:rsidRPr="005808F2" w:rsidRDefault="005808F2" w:rsidP="00580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08F2">
        <w:rPr>
          <w:color w:val="000000"/>
        </w:rPr>
        <w:t xml:space="preserve">Цель работы: протестировать различные наборы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 для определения экспрессии опухолевых маркеров на линейных клетках A-431 и MCF7.</w:t>
      </w:r>
    </w:p>
    <w:p w14:paraId="70D8B69A" w14:textId="6F0033B7" w:rsidR="005808F2" w:rsidRDefault="005808F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08F2">
        <w:rPr>
          <w:color w:val="000000"/>
        </w:rPr>
        <w:t xml:space="preserve">В рамках работы были выбраны 2 набора пар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 к EGFR - s1 и s2, 2 пары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 к CD133/Prom1, пара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 к NCL. Перед проведением ПЦР-реакций пары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 проанализировали с использованием программ </w:t>
      </w:r>
      <w:proofErr w:type="spellStart"/>
      <w:r w:rsidRPr="005808F2">
        <w:rPr>
          <w:color w:val="000000"/>
        </w:rPr>
        <w:t>SnapGene</w:t>
      </w:r>
      <w:proofErr w:type="spellEnd"/>
      <w:r w:rsidRPr="005808F2">
        <w:rPr>
          <w:color w:val="000000"/>
        </w:rPr>
        <w:t xml:space="preserve"> </w:t>
      </w:r>
      <w:proofErr w:type="spellStart"/>
      <w:r w:rsidRPr="005808F2">
        <w:rPr>
          <w:color w:val="000000"/>
        </w:rPr>
        <w:t>Viewer</w:t>
      </w:r>
      <w:proofErr w:type="spellEnd"/>
      <w:r w:rsidRPr="005808F2">
        <w:rPr>
          <w:color w:val="000000"/>
        </w:rPr>
        <w:t xml:space="preserve"> и </w:t>
      </w:r>
      <w:proofErr w:type="spellStart"/>
      <w:r w:rsidRPr="005808F2">
        <w:rPr>
          <w:color w:val="000000"/>
        </w:rPr>
        <w:t>Multiple</w:t>
      </w:r>
      <w:proofErr w:type="spellEnd"/>
      <w:r w:rsidRPr="005808F2">
        <w:rPr>
          <w:color w:val="000000"/>
        </w:rPr>
        <w:t xml:space="preserve"> </w:t>
      </w:r>
      <w:proofErr w:type="spellStart"/>
      <w:r w:rsidRPr="005808F2">
        <w:rPr>
          <w:color w:val="000000"/>
        </w:rPr>
        <w:t>Primer</w:t>
      </w:r>
      <w:proofErr w:type="spellEnd"/>
      <w:r w:rsidRPr="005808F2">
        <w:rPr>
          <w:color w:val="000000"/>
        </w:rPr>
        <w:t xml:space="preserve"> </w:t>
      </w:r>
      <w:proofErr w:type="spellStart"/>
      <w:r w:rsidRPr="005808F2">
        <w:rPr>
          <w:color w:val="000000"/>
        </w:rPr>
        <w:t>Analyzer</w:t>
      </w:r>
      <w:proofErr w:type="spellEnd"/>
      <w:r w:rsidRPr="005808F2">
        <w:rPr>
          <w:color w:val="000000"/>
        </w:rPr>
        <w:t xml:space="preserve">. В работе использовали клетки стандартной линии </w:t>
      </w:r>
      <w:proofErr w:type="spellStart"/>
      <w:r w:rsidRPr="005808F2">
        <w:rPr>
          <w:color w:val="000000"/>
        </w:rPr>
        <w:t>эпидермоидной</w:t>
      </w:r>
      <w:proofErr w:type="spellEnd"/>
      <w:r w:rsidRPr="005808F2">
        <w:rPr>
          <w:color w:val="000000"/>
        </w:rPr>
        <w:t xml:space="preserve"> карциномы А-431, экспрессирующей EGFR, и клетки стандартной линии рака молочной железы MCF-7, в которых экспрессия EGFR незначительна по данным литературы [4]. Реакцией обратной транскрипции с мРНК получали копию </w:t>
      </w:r>
      <w:proofErr w:type="spellStart"/>
      <w:r w:rsidRPr="005808F2">
        <w:rPr>
          <w:color w:val="000000"/>
        </w:rPr>
        <w:t>кДНК</w:t>
      </w:r>
      <w:proofErr w:type="spellEnd"/>
      <w:r w:rsidRPr="005808F2">
        <w:rPr>
          <w:color w:val="000000"/>
        </w:rPr>
        <w:t xml:space="preserve">. Методом ПЦР-РВ оценили экспрессию генов NUCL, EGFR (с </w:t>
      </w:r>
      <w:proofErr w:type="spellStart"/>
      <w:r w:rsidRPr="005808F2">
        <w:rPr>
          <w:color w:val="000000"/>
        </w:rPr>
        <w:t>праймерами</w:t>
      </w:r>
      <w:proofErr w:type="spellEnd"/>
      <w:r w:rsidRPr="005808F2">
        <w:rPr>
          <w:color w:val="000000"/>
        </w:rPr>
        <w:t xml:space="preserve"> s1), Prom1 и CD133 в МСF7. В качестве </w:t>
      </w:r>
      <w:proofErr w:type="spellStart"/>
      <w:r w:rsidRPr="005808F2">
        <w:rPr>
          <w:color w:val="000000"/>
        </w:rPr>
        <w:t>референсных</w:t>
      </w:r>
      <w:proofErr w:type="spellEnd"/>
      <w:r w:rsidRPr="005808F2">
        <w:rPr>
          <w:color w:val="000000"/>
        </w:rPr>
        <w:t xml:space="preserve"> использовали гены GAPDH, RPL13A и Act-β. Длины полученных в результате ПЦР продуктов оценивали методом электрофореза в </w:t>
      </w:r>
      <w:proofErr w:type="spellStart"/>
      <w:r w:rsidRPr="005808F2">
        <w:rPr>
          <w:color w:val="000000"/>
        </w:rPr>
        <w:t>агарозном</w:t>
      </w:r>
      <w:proofErr w:type="spellEnd"/>
      <w:r w:rsidRPr="005808F2">
        <w:rPr>
          <w:color w:val="000000"/>
        </w:rPr>
        <w:t xml:space="preserve"> геле.</w:t>
      </w:r>
    </w:p>
    <w:p w14:paraId="75CCEDD6" w14:textId="6E6AAAE3" w:rsidR="005808F2" w:rsidRDefault="005808F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08F2">
        <w:rPr>
          <w:color w:val="000000"/>
        </w:rPr>
        <w:t xml:space="preserve">Согласно результатам, полученным при анализе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 с помощью </w:t>
      </w:r>
      <w:proofErr w:type="spellStart"/>
      <w:r w:rsidRPr="005808F2">
        <w:rPr>
          <w:color w:val="000000"/>
        </w:rPr>
        <w:t>Multiple</w:t>
      </w:r>
      <w:proofErr w:type="spellEnd"/>
      <w:r w:rsidRPr="005808F2">
        <w:rPr>
          <w:color w:val="000000"/>
        </w:rPr>
        <w:t xml:space="preserve"> </w:t>
      </w:r>
      <w:proofErr w:type="spellStart"/>
      <w:r w:rsidRPr="005808F2">
        <w:rPr>
          <w:color w:val="000000"/>
        </w:rPr>
        <w:t>Primer</w:t>
      </w:r>
      <w:proofErr w:type="spellEnd"/>
      <w:r w:rsidRPr="005808F2">
        <w:rPr>
          <w:color w:val="000000"/>
        </w:rPr>
        <w:t xml:space="preserve"> </w:t>
      </w:r>
      <w:proofErr w:type="spellStart"/>
      <w:r w:rsidRPr="005808F2">
        <w:rPr>
          <w:color w:val="000000"/>
        </w:rPr>
        <w:t>Analyzer</w:t>
      </w:r>
      <w:proofErr w:type="spellEnd"/>
      <w:r w:rsidRPr="005808F2">
        <w:rPr>
          <w:color w:val="000000"/>
        </w:rPr>
        <w:t xml:space="preserve">, выбранные </w:t>
      </w:r>
      <w:proofErr w:type="spellStart"/>
      <w:r w:rsidRPr="005808F2">
        <w:rPr>
          <w:color w:val="000000"/>
        </w:rPr>
        <w:t>праймеры</w:t>
      </w:r>
      <w:proofErr w:type="spellEnd"/>
      <w:r w:rsidRPr="005808F2">
        <w:rPr>
          <w:color w:val="000000"/>
        </w:rPr>
        <w:t xml:space="preserve"> не являются комплементарными и не образуют </w:t>
      </w:r>
      <w:proofErr w:type="spellStart"/>
      <w:r w:rsidRPr="005808F2">
        <w:rPr>
          <w:color w:val="000000"/>
        </w:rPr>
        <w:t>праймер-димеров</w:t>
      </w:r>
      <w:proofErr w:type="spellEnd"/>
      <w:r w:rsidRPr="005808F2">
        <w:rPr>
          <w:color w:val="000000"/>
        </w:rPr>
        <w:t xml:space="preserve">. Для клеток MCF-7 наблюдали сигнал флуоресценции ПЦР-РВ со всеми исследуемыми генами, кроме CD133, что согласуется с данными Human </w:t>
      </w:r>
      <w:proofErr w:type="spellStart"/>
      <w:r w:rsidRPr="005808F2">
        <w:rPr>
          <w:color w:val="000000"/>
        </w:rPr>
        <w:t>Protein</w:t>
      </w:r>
      <w:proofErr w:type="spellEnd"/>
      <w:r w:rsidRPr="005808F2">
        <w:rPr>
          <w:color w:val="000000"/>
        </w:rPr>
        <w:t xml:space="preserve"> Atlas</w:t>
      </w:r>
      <w:r w:rsidR="0056639A">
        <w:rPr>
          <w:color w:val="000000"/>
        </w:rPr>
        <w:t xml:space="preserve"> </w:t>
      </w:r>
      <w:r w:rsidRPr="005808F2">
        <w:rPr>
          <w:color w:val="000000"/>
        </w:rPr>
        <w:t xml:space="preserve">[5]. В ходе работы были протестированы различные наборы </w:t>
      </w:r>
      <w:proofErr w:type="spellStart"/>
      <w:r w:rsidRPr="005808F2">
        <w:rPr>
          <w:color w:val="000000"/>
        </w:rPr>
        <w:t>праймеров</w:t>
      </w:r>
      <w:proofErr w:type="spellEnd"/>
      <w:r w:rsidRPr="005808F2">
        <w:rPr>
          <w:color w:val="000000"/>
        </w:rPr>
        <w:t xml:space="preserve">, проведен анализ полученных данных, а также сравнение результатов исследования с данными Human </w:t>
      </w:r>
      <w:proofErr w:type="spellStart"/>
      <w:r w:rsidRPr="005808F2">
        <w:rPr>
          <w:color w:val="000000"/>
        </w:rPr>
        <w:t>Protein</w:t>
      </w:r>
      <w:proofErr w:type="spellEnd"/>
      <w:r w:rsidRPr="005808F2">
        <w:rPr>
          <w:color w:val="000000"/>
        </w:rPr>
        <w:t xml:space="preserve"> Atlas</w:t>
      </w:r>
      <w:r>
        <w:rPr>
          <w:color w:val="000000"/>
        </w:rPr>
        <w:t>.</w:t>
      </w:r>
    </w:p>
    <w:p w14:paraId="0000000E" w14:textId="707829D4" w:rsidR="00130241" w:rsidRPr="005808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28372DD" w14:textId="7E720190" w:rsidR="005808F2" w:rsidRPr="005808F2" w:rsidRDefault="005808F2" w:rsidP="00090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09012C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Voldborg</w:t>
      </w:r>
      <w:proofErr w:type="spellEnd"/>
      <w:r w:rsidRPr="005808F2">
        <w:rPr>
          <w:color w:val="000000"/>
          <w:lang w:val="en-US"/>
        </w:rPr>
        <w:t xml:space="preserve"> B.R., </w:t>
      </w:r>
      <w:proofErr w:type="spellStart"/>
      <w:r w:rsidRPr="005808F2">
        <w:rPr>
          <w:color w:val="000000"/>
          <w:lang w:val="en-US"/>
        </w:rPr>
        <w:t>Damstrup</w:t>
      </w:r>
      <w:proofErr w:type="spellEnd"/>
      <w:r w:rsidRPr="005808F2">
        <w:rPr>
          <w:color w:val="000000"/>
          <w:lang w:val="en-US"/>
        </w:rPr>
        <w:t xml:space="preserve"> L., Spang-Thomsen M., Poulsen H.S. Epidermal growth factor receptor (EGFR) and EGFR mutations, function and possible role in clinical trials</w:t>
      </w:r>
      <w:r w:rsidR="0009012C" w:rsidRPr="0009012C">
        <w:rPr>
          <w:color w:val="000000"/>
          <w:lang w:val="en-US"/>
        </w:rPr>
        <w:t xml:space="preserve"> </w:t>
      </w:r>
      <w:r w:rsidRPr="005808F2">
        <w:rPr>
          <w:color w:val="000000"/>
          <w:lang w:val="en-US"/>
        </w:rPr>
        <w:t>// Ann Oncol. 1997. V</w:t>
      </w:r>
      <w:r w:rsidRPr="005808F2">
        <w:rPr>
          <w:color w:val="000000"/>
          <w:lang w:val="en-US"/>
        </w:rPr>
        <w:t>ol</w:t>
      </w:r>
      <w:r w:rsidRPr="005808F2">
        <w:rPr>
          <w:color w:val="000000"/>
          <w:lang w:val="en-US"/>
        </w:rPr>
        <w:t xml:space="preserve">. 8. P. 1197-206.  </w:t>
      </w:r>
    </w:p>
    <w:p w14:paraId="17DA6739" w14:textId="76B2E4ED" w:rsidR="005808F2" w:rsidRPr="005808F2" w:rsidRDefault="005808F2" w:rsidP="00090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808F2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</w:t>
      </w:r>
      <w:r w:rsidRPr="005808F2">
        <w:rPr>
          <w:color w:val="000000"/>
          <w:lang w:val="en-US"/>
        </w:rPr>
        <w:t>Sareen H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, Ma Y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, Becker T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M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, Roberts T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L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, de Souza P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 xml:space="preserve">, </w:t>
      </w:r>
      <w:proofErr w:type="spellStart"/>
      <w:r w:rsidRPr="005808F2">
        <w:rPr>
          <w:color w:val="000000"/>
          <w:lang w:val="en-US"/>
        </w:rPr>
        <w:t>Powter</w:t>
      </w:r>
      <w:proofErr w:type="spellEnd"/>
      <w:r w:rsidRPr="005808F2">
        <w:rPr>
          <w:color w:val="000000"/>
          <w:lang w:val="en-US"/>
        </w:rPr>
        <w:t xml:space="preserve"> B. Molecular Biomarkers in Glioblastoma: A Systematic Review and Meta-Analysis</w:t>
      </w:r>
      <w:r>
        <w:rPr>
          <w:color w:val="000000"/>
          <w:lang w:val="en-US"/>
        </w:rPr>
        <w:t xml:space="preserve"> //</w:t>
      </w:r>
      <w:r w:rsidRPr="005808F2">
        <w:rPr>
          <w:color w:val="000000"/>
          <w:lang w:val="en-US"/>
        </w:rPr>
        <w:t xml:space="preserve"> Int J Mol Sci. 2022</w:t>
      </w:r>
      <w:r>
        <w:rPr>
          <w:color w:val="000000"/>
          <w:lang w:val="en-US"/>
        </w:rPr>
        <w:t xml:space="preserve">. Vol. </w:t>
      </w:r>
      <w:r w:rsidRPr="005808F2">
        <w:rPr>
          <w:color w:val="000000"/>
          <w:lang w:val="en-US"/>
        </w:rPr>
        <w:t>23</w:t>
      </w:r>
      <w:r>
        <w:rPr>
          <w:color w:val="000000"/>
          <w:lang w:val="en-US"/>
        </w:rPr>
        <w:t xml:space="preserve">. P. </w:t>
      </w:r>
      <w:r w:rsidRPr="005808F2">
        <w:rPr>
          <w:color w:val="000000"/>
          <w:lang w:val="en-US"/>
        </w:rPr>
        <w:t xml:space="preserve">8835. </w:t>
      </w:r>
    </w:p>
    <w:p w14:paraId="30B6AE81" w14:textId="785BBADF" w:rsidR="005808F2" w:rsidRPr="005808F2" w:rsidRDefault="005808F2" w:rsidP="00090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808F2">
        <w:rPr>
          <w:color w:val="000000"/>
          <w:lang w:val="en-US"/>
        </w:rPr>
        <w:t>3.</w:t>
      </w:r>
      <w:r w:rsidR="0009012C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Kopylov</w:t>
      </w:r>
      <w:proofErr w:type="spellEnd"/>
      <w:r w:rsidRPr="005808F2">
        <w:rPr>
          <w:color w:val="000000"/>
          <w:lang w:val="en-US"/>
        </w:rPr>
        <w:t xml:space="preserve"> A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M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 xml:space="preserve">, </w:t>
      </w:r>
      <w:proofErr w:type="spellStart"/>
      <w:r w:rsidRPr="005808F2">
        <w:rPr>
          <w:color w:val="000000"/>
          <w:lang w:val="en-US"/>
        </w:rPr>
        <w:t>Antipova</w:t>
      </w:r>
      <w:proofErr w:type="spellEnd"/>
      <w:r w:rsidRPr="005808F2">
        <w:rPr>
          <w:color w:val="000000"/>
          <w:lang w:val="en-US"/>
        </w:rPr>
        <w:t xml:space="preserve"> O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A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, Pavlova G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V.</w:t>
      </w:r>
      <w:r>
        <w:rPr>
          <w:color w:val="000000"/>
          <w:lang w:val="en-US"/>
        </w:rPr>
        <w:t xml:space="preserve"> </w:t>
      </w:r>
      <w:r w:rsidRPr="005808F2">
        <w:rPr>
          <w:color w:val="000000"/>
          <w:lang w:val="en-US"/>
        </w:rPr>
        <w:t>Molecular markers of neuro-oncogenesis in patients with glioblastoma</w:t>
      </w:r>
      <w:r w:rsidR="0009012C" w:rsidRPr="0009012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</w:t>
      </w:r>
      <w:r w:rsidRPr="005808F2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Zh</w:t>
      </w:r>
      <w:proofErr w:type="spellEnd"/>
      <w:r w:rsidRPr="005808F2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Vopr</w:t>
      </w:r>
      <w:proofErr w:type="spellEnd"/>
      <w:r w:rsidRPr="005808F2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Neirokhir</w:t>
      </w:r>
      <w:proofErr w:type="spellEnd"/>
      <w:r w:rsidRPr="005808F2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Im</w:t>
      </w:r>
      <w:proofErr w:type="spellEnd"/>
      <w:r w:rsidRPr="005808F2">
        <w:rPr>
          <w:color w:val="000000"/>
          <w:lang w:val="en-US"/>
        </w:rPr>
        <w:t xml:space="preserve"> N </w:t>
      </w:r>
      <w:proofErr w:type="spellStart"/>
      <w:r w:rsidRPr="005808F2">
        <w:rPr>
          <w:color w:val="000000"/>
          <w:lang w:val="en-US"/>
        </w:rPr>
        <w:t>N</w:t>
      </w:r>
      <w:proofErr w:type="spellEnd"/>
      <w:r w:rsidRPr="005808F2">
        <w:rPr>
          <w:color w:val="000000"/>
          <w:lang w:val="en-US"/>
        </w:rPr>
        <w:t xml:space="preserve"> </w:t>
      </w:r>
      <w:proofErr w:type="spellStart"/>
      <w:r w:rsidRPr="005808F2">
        <w:rPr>
          <w:color w:val="000000"/>
          <w:lang w:val="en-US"/>
        </w:rPr>
        <w:t>Burdenko</w:t>
      </w:r>
      <w:proofErr w:type="spellEnd"/>
      <w:r w:rsidRPr="005808F2">
        <w:rPr>
          <w:color w:val="000000"/>
          <w:lang w:val="en-US"/>
        </w:rPr>
        <w:t>. 2022</w:t>
      </w:r>
      <w:r>
        <w:rPr>
          <w:color w:val="000000"/>
          <w:lang w:val="en-US"/>
        </w:rPr>
        <w:t xml:space="preserve">. Vol. </w:t>
      </w:r>
      <w:r w:rsidRPr="005808F2">
        <w:rPr>
          <w:color w:val="000000"/>
          <w:lang w:val="en-US"/>
        </w:rPr>
        <w:t>86</w:t>
      </w:r>
      <w:r>
        <w:rPr>
          <w:color w:val="000000"/>
          <w:lang w:val="en-US"/>
        </w:rPr>
        <w:t xml:space="preserve">. P. </w:t>
      </w:r>
      <w:r w:rsidRPr="005808F2">
        <w:rPr>
          <w:color w:val="000000"/>
          <w:lang w:val="en-US"/>
        </w:rPr>
        <w:t>99-105.</w:t>
      </w:r>
    </w:p>
    <w:p w14:paraId="6B515890" w14:textId="721CFB90" w:rsidR="005808F2" w:rsidRPr="005808F2" w:rsidRDefault="005808F2" w:rsidP="00090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808F2">
        <w:rPr>
          <w:color w:val="000000"/>
          <w:lang w:val="en-US"/>
        </w:rPr>
        <w:t>4.</w:t>
      </w:r>
      <w:r w:rsidR="0009012C">
        <w:rPr>
          <w:color w:val="000000"/>
          <w:lang w:val="en-US"/>
        </w:rPr>
        <w:t xml:space="preserve"> </w:t>
      </w:r>
      <w:r w:rsidRPr="005808F2">
        <w:rPr>
          <w:color w:val="000000"/>
          <w:lang w:val="en-US"/>
        </w:rPr>
        <w:t xml:space="preserve">Van den </w:t>
      </w:r>
      <w:proofErr w:type="spellStart"/>
      <w:r w:rsidRPr="005808F2">
        <w:rPr>
          <w:color w:val="000000"/>
          <w:lang w:val="en-US"/>
        </w:rPr>
        <w:t>Avont</w:t>
      </w:r>
      <w:proofErr w:type="spellEnd"/>
      <w:r w:rsidRPr="005808F2">
        <w:rPr>
          <w:color w:val="000000"/>
          <w:lang w:val="en-US"/>
        </w:rPr>
        <w:t xml:space="preserve"> A</w:t>
      </w:r>
      <w:r>
        <w:rPr>
          <w:color w:val="000000"/>
          <w:lang w:val="en-US"/>
        </w:rPr>
        <w:t>.</w:t>
      </w:r>
      <w:r w:rsidRPr="005808F2">
        <w:rPr>
          <w:color w:val="000000"/>
          <w:lang w:val="en-US"/>
        </w:rPr>
        <w:t>, Sharma-Walia N. Anti-</w:t>
      </w:r>
      <w:proofErr w:type="spellStart"/>
      <w:r w:rsidRPr="005808F2">
        <w:rPr>
          <w:color w:val="000000"/>
          <w:lang w:val="en-US"/>
        </w:rPr>
        <w:t>nucleolin</w:t>
      </w:r>
      <w:proofErr w:type="spellEnd"/>
      <w:r w:rsidRPr="005808F2">
        <w:rPr>
          <w:color w:val="000000"/>
          <w:lang w:val="en-US"/>
        </w:rPr>
        <w:t xml:space="preserve"> aptamer AS1411: an advancing therapeutic</w:t>
      </w:r>
      <w:r>
        <w:rPr>
          <w:color w:val="000000"/>
          <w:lang w:val="en-US"/>
        </w:rPr>
        <w:t xml:space="preserve"> //</w:t>
      </w:r>
      <w:r w:rsidRPr="005808F2">
        <w:rPr>
          <w:color w:val="000000"/>
          <w:lang w:val="en-US"/>
        </w:rPr>
        <w:t xml:space="preserve"> Front Mol </w:t>
      </w:r>
      <w:proofErr w:type="spellStart"/>
      <w:r w:rsidRPr="005808F2">
        <w:rPr>
          <w:color w:val="000000"/>
          <w:lang w:val="en-US"/>
        </w:rPr>
        <w:t>Biosci</w:t>
      </w:r>
      <w:proofErr w:type="spellEnd"/>
      <w:r w:rsidRPr="005808F2">
        <w:rPr>
          <w:color w:val="000000"/>
          <w:lang w:val="en-US"/>
        </w:rPr>
        <w:t>. 2023</w:t>
      </w:r>
      <w:r>
        <w:rPr>
          <w:color w:val="000000"/>
          <w:lang w:val="en-US"/>
        </w:rPr>
        <w:t xml:space="preserve">. Vol. </w:t>
      </w:r>
      <w:r w:rsidRPr="005808F2">
        <w:rPr>
          <w:color w:val="000000"/>
          <w:lang w:val="en-US"/>
        </w:rPr>
        <w:t xml:space="preserve">10. </w:t>
      </w:r>
    </w:p>
    <w:p w14:paraId="24AEF77C" w14:textId="7BBEBCDB" w:rsidR="005808F2" w:rsidRPr="00116478" w:rsidRDefault="005808F2" w:rsidP="00090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808F2">
        <w:rPr>
          <w:color w:val="000000"/>
          <w:lang w:val="en-US"/>
        </w:rPr>
        <w:t>5.</w:t>
      </w:r>
      <w:r w:rsidRPr="0009012C">
        <w:rPr>
          <w:color w:val="000000"/>
          <w:lang w:val="en-US"/>
        </w:rPr>
        <w:t xml:space="preserve"> </w:t>
      </w:r>
      <w:r w:rsidRPr="005808F2">
        <w:rPr>
          <w:color w:val="000000"/>
          <w:lang w:val="en-US"/>
        </w:rPr>
        <w:t>Human Protein Atlas: https://www.proteinatlas.org</w:t>
      </w:r>
    </w:p>
    <w:sectPr w:rsidR="005808F2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8BF"/>
    <w:multiLevelType w:val="hybridMultilevel"/>
    <w:tmpl w:val="399EC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012C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6639A"/>
    <w:rsid w:val="005808F2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Magichka</cp:lastModifiedBy>
  <cp:revision>8</cp:revision>
  <dcterms:created xsi:type="dcterms:W3CDTF">2022-11-07T09:18:00Z</dcterms:created>
  <dcterms:modified xsi:type="dcterms:W3CDTF">2024-03-17T16:09:00Z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