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E5CCD" w14:textId="00FC2AC8" w:rsidR="002311C4" w:rsidRDefault="00231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311C4">
        <w:rPr>
          <w:b/>
          <w:color w:val="000000"/>
        </w:rPr>
        <w:t xml:space="preserve">Взаимное влияние химической природы </w:t>
      </w:r>
      <w:proofErr w:type="spellStart"/>
      <w:r w:rsidRPr="002311C4">
        <w:rPr>
          <w:b/>
          <w:color w:val="000000"/>
        </w:rPr>
        <w:t>фталонитрильного</w:t>
      </w:r>
      <w:proofErr w:type="spellEnd"/>
      <w:r w:rsidRPr="002311C4">
        <w:rPr>
          <w:b/>
          <w:color w:val="000000"/>
        </w:rPr>
        <w:t xml:space="preserve"> моном</w:t>
      </w:r>
      <w:r w:rsidR="00B81411">
        <w:rPr>
          <w:b/>
          <w:color w:val="000000"/>
        </w:rPr>
        <w:t xml:space="preserve">ера и молекулы </w:t>
      </w:r>
      <w:bookmarkStart w:id="0" w:name="_GoBack"/>
      <w:bookmarkEnd w:id="0"/>
      <w:r w:rsidR="00B81411">
        <w:rPr>
          <w:b/>
          <w:color w:val="000000"/>
        </w:rPr>
        <w:t>инициатора</w:t>
      </w:r>
      <w:r w:rsidRPr="002311C4">
        <w:rPr>
          <w:b/>
          <w:color w:val="000000"/>
        </w:rPr>
        <w:t xml:space="preserve"> на протекание реакции</w:t>
      </w:r>
      <w:r w:rsidR="00B81411">
        <w:rPr>
          <w:b/>
          <w:color w:val="000000"/>
        </w:rPr>
        <w:t xml:space="preserve"> поликонденсации</w:t>
      </w:r>
    </w:p>
    <w:p w14:paraId="00000002" w14:textId="19BAB4FF" w:rsidR="00130241" w:rsidRDefault="00692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Астахова О.И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A0A5D">
        <w:rPr>
          <w:b/>
          <w:i/>
        </w:rPr>
        <w:t>Кучевская</w:t>
      </w:r>
      <w:proofErr w:type="spellEnd"/>
      <w:r w:rsidR="00EA0A5D">
        <w:rPr>
          <w:b/>
          <w:i/>
          <w:color w:val="000000"/>
        </w:rPr>
        <w:t xml:space="preserve"> М.Е.</w:t>
      </w:r>
      <w:r w:rsidR="00EA0A5D">
        <w:rPr>
          <w:b/>
          <w:i/>
          <w:color w:val="000000"/>
          <w:vertAlign w:val="superscript"/>
        </w:rPr>
        <w:t>1</w:t>
      </w:r>
      <w:r w:rsidR="00EA0A5D">
        <w:rPr>
          <w:b/>
          <w:i/>
          <w:color w:val="000000"/>
        </w:rPr>
        <w:t>, Морозов О.С.</w:t>
      </w:r>
      <w:r w:rsidR="00EA0A5D">
        <w:rPr>
          <w:b/>
          <w:i/>
          <w:color w:val="000000"/>
          <w:vertAlign w:val="superscript"/>
        </w:rPr>
        <w:t>1</w:t>
      </w:r>
    </w:p>
    <w:p w14:paraId="00000003" w14:textId="1158B8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92A69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3D53EB1A" w:rsidR="00130241" w:rsidRDefault="00391C38" w:rsidP="00692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46197E78" w:rsidR="00CD00B1" w:rsidRPr="002311C4" w:rsidRDefault="00EB1F49" w:rsidP="00692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0A5D">
        <w:rPr>
          <w:i/>
          <w:color w:val="000000"/>
          <w:lang w:val="en-US"/>
        </w:rPr>
        <w:t>E</w:t>
      </w:r>
      <w:r w:rsidR="003B76D6" w:rsidRPr="002311C4">
        <w:rPr>
          <w:i/>
          <w:color w:val="000000"/>
        </w:rPr>
        <w:t>-</w:t>
      </w:r>
      <w:r w:rsidRPr="00EA0A5D">
        <w:rPr>
          <w:i/>
          <w:color w:val="000000"/>
          <w:lang w:val="en-US"/>
        </w:rPr>
        <w:t>mail</w:t>
      </w:r>
      <w:r w:rsidRPr="002311C4">
        <w:rPr>
          <w:i/>
          <w:color w:val="000000"/>
        </w:rPr>
        <w:t xml:space="preserve">: </w:t>
      </w:r>
      <w:proofErr w:type="spellStart"/>
      <w:r w:rsidR="00EA0A5D" w:rsidRPr="00EA0A5D">
        <w:rPr>
          <w:i/>
          <w:u w:val="single"/>
          <w:lang w:val="en-US"/>
        </w:rPr>
        <w:t>olga</w:t>
      </w:r>
      <w:proofErr w:type="spellEnd"/>
      <w:r w:rsidR="00EA0A5D" w:rsidRPr="002311C4">
        <w:rPr>
          <w:i/>
          <w:u w:val="single"/>
        </w:rPr>
        <w:t>.</w:t>
      </w:r>
      <w:proofErr w:type="spellStart"/>
      <w:r w:rsidR="00EA0A5D" w:rsidRPr="00EA0A5D">
        <w:rPr>
          <w:i/>
          <w:u w:val="single"/>
          <w:lang w:val="en-US"/>
        </w:rPr>
        <w:t>astakhova</w:t>
      </w:r>
      <w:proofErr w:type="spellEnd"/>
      <w:r w:rsidR="00EA0A5D" w:rsidRPr="002311C4">
        <w:rPr>
          <w:i/>
          <w:u w:val="single"/>
        </w:rPr>
        <w:t>@</w:t>
      </w:r>
      <w:r w:rsidR="00EA0A5D" w:rsidRPr="00EA0A5D">
        <w:rPr>
          <w:i/>
          <w:u w:val="single"/>
          <w:lang w:val="en-US"/>
        </w:rPr>
        <w:t>chemistry</w:t>
      </w:r>
      <w:r w:rsidR="00EA0A5D" w:rsidRPr="002311C4">
        <w:rPr>
          <w:i/>
          <w:u w:val="single"/>
        </w:rPr>
        <w:t>.</w:t>
      </w:r>
      <w:proofErr w:type="spellStart"/>
      <w:r w:rsidR="00EA0A5D" w:rsidRPr="00EA0A5D">
        <w:rPr>
          <w:i/>
          <w:u w:val="single"/>
          <w:lang w:val="en-US"/>
        </w:rPr>
        <w:t>msu</w:t>
      </w:r>
      <w:proofErr w:type="spellEnd"/>
      <w:r w:rsidR="00EA0A5D" w:rsidRPr="002311C4">
        <w:rPr>
          <w:i/>
          <w:u w:val="single"/>
        </w:rPr>
        <w:t>.</w:t>
      </w:r>
      <w:proofErr w:type="spellStart"/>
      <w:r w:rsidR="00EA0A5D" w:rsidRPr="00EA0A5D">
        <w:rPr>
          <w:i/>
          <w:u w:val="single"/>
          <w:lang w:val="en-US"/>
        </w:rPr>
        <w:t>ru</w:t>
      </w:r>
      <w:proofErr w:type="spellEnd"/>
    </w:p>
    <w:p w14:paraId="192F5B4B" w14:textId="5D7AC565" w:rsidR="00EA0A5D" w:rsidRDefault="00EA0A5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Полимерные композиционные материалы (ПКМ) имеют большой потенциал применения в качестве конструкционных материалов, так как обеспечивают большую удельную прочность изделия по сравнению с металлическими конструкциями. ПКМ с матрицей, компоненты которой содержат </w:t>
      </w:r>
      <w:proofErr w:type="spellStart"/>
      <w:r>
        <w:t>фталонитрильные</w:t>
      </w:r>
      <w:proofErr w:type="spellEnd"/>
      <w:r>
        <w:t xml:space="preserve"> группы, демонстрируют наилучшие соотношения термостойкости и механических свойств по сравнению с остальными известными смолами</w:t>
      </w:r>
      <w:r w:rsidR="002311C4">
        <w:t xml:space="preserve"> </w:t>
      </w:r>
      <w:r w:rsidR="002311C4" w:rsidRPr="002311C4">
        <w:t>[</w:t>
      </w:r>
      <w:r w:rsidR="002311C4">
        <w:t>1, 2</w:t>
      </w:r>
      <w:r w:rsidR="002311C4" w:rsidRPr="002311C4">
        <w:t>]</w:t>
      </w:r>
      <w:r>
        <w:t xml:space="preserve">, </w:t>
      </w:r>
      <w:r w:rsidR="00415071">
        <w:t>вследствие</w:t>
      </w:r>
      <w:r w:rsidR="008C38D5">
        <w:t xml:space="preserve"> </w:t>
      </w:r>
      <w:r w:rsidR="00415071">
        <w:t>чего перспективными областями применения данных материалов являются авиация и космонавтика.</w:t>
      </w:r>
    </w:p>
    <w:p w14:paraId="5CCA7061" w14:textId="4BBC9187" w:rsidR="008C38D5" w:rsidRDefault="008C38D5" w:rsidP="008C3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38D5">
        <w:rPr>
          <w:color w:val="000000"/>
        </w:rPr>
        <w:t>Данная работа посвящена</w:t>
      </w:r>
      <w:r>
        <w:rPr>
          <w:color w:val="000000"/>
        </w:rPr>
        <w:t xml:space="preserve"> изучению </w:t>
      </w:r>
      <w:r>
        <w:t>взаимного влияния химической природы мономеров и инициаторов поликонденсации на температуру начала реакции</w:t>
      </w:r>
      <w:r>
        <w:rPr>
          <w:color w:val="000000"/>
        </w:rPr>
        <w:t>.</w:t>
      </w:r>
    </w:p>
    <w:p w14:paraId="0DA761F4" w14:textId="77777777" w:rsidR="00F478EC" w:rsidRDefault="00415071" w:rsidP="009F6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исследованы модельные системы, содержащие</w:t>
      </w:r>
      <w:r w:rsidR="009F6D98" w:rsidRPr="009F6D98">
        <w:rPr>
          <w:color w:val="000000"/>
        </w:rPr>
        <w:t xml:space="preserve"> </w:t>
      </w:r>
      <w:proofErr w:type="spellStart"/>
      <w:r w:rsidR="009F6D98" w:rsidRPr="009F6D98">
        <w:rPr>
          <w:color w:val="000000"/>
        </w:rPr>
        <w:t>феноксифталонитрил</w:t>
      </w:r>
      <w:proofErr w:type="spellEnd"/>
      <w:r w:rsidR="009F6D98" w:rsidRPr="009F6D98">
        <w:rPr>
          <w:color w:val="000000"/>
        </w:rPr>
        <w:t xml:space="preserve"> и </w:t>
      </w:r>
      <w:proofErr w:type="spellStart"/>
      <w:r w:rsidR="009F6D98" w:rsidRPr="009F6D98">
        <w:rPr>
          <w:color w:val="000000"/>
        </w:rPr>
        <w:t>цианофеноксифталонит</w:t>
      </w:r>
      <w:r>
        <w:rPr>
          <w:color w:val="000000"/>
        </w:rPr>
        <w:t>рил</w:t>
      </w:r>
      <w:proofErr w:type="spellEnd"/>
      <w:r>
        <w:rPr>
          <w:color w:val="000000"/>
        </w:rPr>
        <w:t xml:space="preserve"> в качестве мономеров, взятые</w:t>
      </w:r>
      <w:r w:rsidR="009F6D98" w:rsidRPr="009F6D98">
        <w:rPr>
          <w:color w:val="000000"/>
        </w:rPr>
        <w:t xml:space="preserve"> в мольном соотношении 5 </w:t>
      </w:r>
      <w:proofErr w:type="spellStart"/>
      <w:r w:rsidR="009F6D98" w:rsidRPr="009F6D98">
        <w:rPr>
          <w:color w:val="000000"/>
        </w:rPr>
        <w:t>фталонитрильных</w:t>
      </w:r>
      <w:proofErr w:type="spellEnd"/>
      <w:r w:rsidR="009F6D98" w:rsidRPr="009F6D98">
        <w:rPr>
          <w:color w:val="000000"/>
        </w:rPr>
        <w:t xml:space="preserve"> групп к 1 активной группе отвердителя.</w:t>
      </w:r>
      <w:r w:rsidR="009F6D98">
        <w:rPr>
          <w:color w:val="000000"/>
        </w:rPr>
        <w:t xml:space="preserve"> </w:t>
      </w:r>
      <w:r w:rsidR="009F6D98" w:rsidRPr="009F6D98">
        <w:rPr>
          <w:color w:val="000000"/>
        </w:rPr>
        <w:t>В качестве отвердителей был</w:t>
      </w:r>
      <w:r w:rsidR="002311C4">
        <w:rPr>
          <w:color w:val="000000"/>
        </w:rPr>
        <w:t>и</w:t>
      </w:r>
      <w:r w:rsidR="009F6D98" w:rsidRPr="009F6D98">
        <w:rPr>
          <w:color w:val="000000"/>
        </w:rPr>
        <w:t xml:space="preserve"> использован</w:t>
      </w:r>
      <w:r w:rsidR="002311C4">
        <w:rPr>
          <w:color w:val="000000"/>
        </w:rPr>
        <w:t>ы</w:t>
      </w:r>
      <w:r w:rsidR="009F6D98">
        <w:rPr>
          <w:color w:val="000000"/>
        </w:rPr>
        <w:t xml:space="preserve">: </w:t>
      </w:r>
      <w:proofErr w:type="spellStart"/>
      <w:r w:rsidR="009F6D98">
        <w:rPr>
          <w:color w:val="000000"/>
        </w:rPr>
        <w:t>с</w:t>
      </w:r>
      <w:r w:rsidR="009F6D98" w:rsidRPr="009F6D98">
        <w:rPr>
          <w:color w:val="000000"/>
        </w:rPr>
        <w:t>ульфо</w:t>
      </w:r>
      <w:r w:rsidR="009F6D98">
        <w:rPr>
          <w:color w:val="000000"/>
        </w:rPr>
        <w:t>новые</w:t>
      </w:r>
      <w:proofErr w:type="spellEnd"/>
      <w:r w:rsidR="009F6D98">
        <w:rPr>
          <w:color w:val="000000"/>
        </w:rPr>
        <w:t xml:space="preserve"> </w:t>
      </w:r>
      <w:r w:rsidR="009F6D98" w:rsidRPr="009F6D98">
        <w:rPr>
          <w:color w:val="000000"/>
        </w:rPr>
        <w:t>кислоты</w:t>
      </w:r>
      <w:r w:rsidR="009F6D98">
        <w:rPr>
          <w:color w:val="000000"/>
        </w:rPr>
        <w:t>, а</w:t>
      </w:r>
      <w:r w:rsidR="009F6D98" w:rsidRPr="009F6D98">
        <w:rPr>
          <w:color w:val="000000"/>
        </w:rPr>
        <w:t>роматические и алифатические спирты</w:t>
      </w:r>
      <w:r w:rsidR="009F6D98">
        <w:rPr>
          <w:color w:val="000000"/>
        </w:rPr>
        <w:t>, а</w:t>
      </w:r>
      <w:r w:rsidR="009F6D98" w:rsidRPr="009F6D98">
        <w:rPr>
          <w:color w:val="000000"/>
        </w:rPr>
        <w:t>роматические амины</w:t>
      </w:r>
      <w:r w:rsidR="009F6D98">
        <w:rPr>
          <w:color w:val="000000"/>
        </w:rPr>
        <w:t>, а</w:t>
      </w:r>
      <w:r w:rsidR="009F6D98" w:rsidRPr="009F6D98">
        <w:rPr>
          <w:color w:val="000000"/>
        </w:rPr>
        <w:t>лифатические амины</w:t>
      </w:r>
      <w:r>
        <w:rPr>
          <w:color w:val="000000"/>
        </w:rPr>
        <w:t>:</w:t>
      </w:r>
    </w:p>
    <w:tbl>
      <w:tblPr>
        <w:tblStyle w:val="TableNormal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686"/>
      </w:tblGrid>
      <w:tr w:rsidR="00F478EC" w14:paraId="188042CA" w14:textId="77777777" w:rsidTr="009D3DC3">
        <w:trPr>
          <w:jc w:val="center"/>
        </w:trPr>
        <w:tc>
          <w:tcPr>
            <w:tcW w:w="3539" w:type="dxa"/>
            <w:vAlign w:val="center"/>
          </w:tcPr>
          <w:p w14:paraId="6273A881" w14:textId="77777777" w:rsidR="00F478EC" w:rsidRDefault="00F478EC" w:rsidP="009D3DC3">
            <w:pPr>
              <w:jc w:val="center"/>
              <w:rPr>
                <w:color w:val="000000"/>
              </w:rPr>
            </w:pPr>
            <w:r w:rsidRPr="00F478EC">
              <w:rPr>
                <w:noProof/>
                <w:color w:val="000000"/>
              </w:rPr>
              <w:drawing>
                <wp:inline distT="0" distB="0" distL="0" distR="0" wp14:anchorId="27EF43D1" wp14:editId="2075F816">
                  <wp:extent cx="1325880" cy="5486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975" b="21312"/>
                          <a:stretch/>
                        </pic:blipFill>
                        <pic:spPr bwMode="auto">
                          <a:xfrm>
                            <a:off x="0" y="0"/>
                            <a:ext cx="1337263" cy="55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135F5C" w14:textId="1818C5E4" w:rsidR="009D3DC3" w:rsidRPr="009D3DC3" w:rsidRDefault="009D3DC3" w:rsidP="009D3DC3">
            <w:pPr>
              <w:jc w:val="center"/>
              <w:rPr>
                <w:b/>
                <w:color w:val="000000"/>
              </w:rPr>
            </w:pPr>
            <w:r w:rsidRPr="009D3DC3">
              <w:rPr>
                <w:b/>
                <w:i/>
                <w:color w:val="000000"/>
              </w:rPr>
              <w:t>п-</w:t>
            </w:r>
            <w:proofErr w:type="spellStart"/>
            <w:r w:rsidRPr="009D3DC3">
              <w:rPr>
                <w:b/>
                <w:color w:val="000000"/>
              </w:rPr>
              <w:t>толуолсульфоновая</w:t>
            </w:r>
            <w:proofErr w:type="spellEnd"/>
            <w:r w:rsidRPr="009D3DC3">
              <w:rPr>
                <w:b/>
                <w:color w:val="000000"/>
              </w:rPr>
              <w:t xml:space="preserve"> кислота</w:t>
            </w:r>
          </w:p>
        </w:tc>
        <w:tc>
          <w:tcPr>
            <w:tcW w:w="2835" w:type="dxa"/>
            <w:vAlign w:val="center"/>
          </w:tcPr>
          <w:p w14:paraId="7A36FBA9" w14:textId="04A0FF21" w:rsidR="00F478EC" w:rsidRDefault="00F478EC" w:rsidP="009D3DC3">
            <w:pPr>
              <w:jc w:val="center"/>
              <w:rPr>
                <w:noProof/>
                <w:color w:val="000000"/>
              </w:rPr>
            </w:pPr>
            <w:r w:rsidRPr="00F478EC">
              <w:rPr>
                <w:noProof/>
                <w:color w:val="000000"/>
              </w:rPr>
              <w:drawing>
                <wp:inline distT="0" distB="0" distL="0" distR="0" wp14:anchorId="2F684A90" wp14:editId="4F014B48">
                  <wp:extent cx="1676400" cy="8248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066"/>
                          <a:stretch/>
                        </pic:blipFill>
                        <pic:spPr bwMode="auto">
                          <a:xfrm>
                            <a:off x="0" y="0"/>
                            <a:ext cx="1714697" cy="84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3E37DE" w14:textId="0D0C268C" w:rsidR="00F478EC" w:rsidRPr="00F478EC" w:rsidRDefault="00F478EC" w:rsidP="009D3DC3">
            <w:pPr>
              <w:jc w:val="center"/>
              <w:rPr>
                <w:b/>
                <w:color w:val="000000"/>
              </w:rPr>
            </w:pPr>
            <w:proofErr w:type="spellStart"/>
            <w:r w:rsidRPr="00F478EC">
              <w:rPr>
                <w:b/>
                <w:color w:val="000000"/>
              </w:rPr>
              <w:t>Бисфенол</w:t>
            </w:r>
            <w:proofErr w:type="spellEnd"/>
            <w:r w:rsidRPr="00F478EC">
              <w:rPr>
                <w:b/>
                <w:color w:val="000000"/>
              </w:rPr>
              <w:t xml:space="preserve"> А</w:t>
            </w:r>
          </w:p>
        </w:tc>
        <w:tc>
          <w:tcPr>
            <w:tcW w:w="3686" w:type="dxa"/>
            <w:vAlign w:val="center"/>
          </w:tcPr>
          <w:p w14:paraId="33FE02BC" w14:textId="77777777" w:rsidR="00F478EC" w:rsidRDefault="00F478EC" w:rsidP="009D3DC3">
            <w:pPr>
              <w:jc w:val="center"/>
              <w:rPr>
                <w:color w:val="000000"/>
              </w:rPr>
            </w:pPr>
            <w:r w:rsidRPr="00F478EC">
              <w:rPr>
                <w:noProof/>
                <w:color w:val="000000"/>
              </w:rPr>
              <w:drawing>
                <wp:inline distT="0" distB="0" distL="0" distR="0" wp14:anchorId="1B52473E" wp14:editId="431A9F01">
                  <wp:extent cx="1722120" cy="6813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49"/>
                          <a:stretch/>
                        </pic:blipFill>
                        <pic:spPr bwMode="auto">
                          <a:xfrm>
                            <a:off x="0" y="0"/>
                            <a:ext cx="1746063" cy="69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F22B9F" w14:textId="2EBE9B49" w:rsidR="00F478EC" w:rsidRPr="00F478EC" w:rsidRDefault="00F478EC" w:rsidP="009D3D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4-А</w:t>
            </w:r>
            <w:r w:rsidRPr="00F478EC">
              <w:rPr>
                <w:b/>
                <w:color w:val="000000"/>
              </w:rPr>
              <w:t xml:space="preserve">минофенокси </w:t>
            </w:r>
            <w:proofErr w:type="spellStart"/>
            <w:r w:rsidRPr="00F478EC">
              <w:rPr>
                <w:b/>
                <w:color w:val="000000"/>
              </w:rPr>
              <w:t>фталонитрил</w:t>
            </w:r>
            <w:proofErr w:type="spellEnd"/>
          </w:p>
        </w:tc>
      </w:tr>
      <w:tr w:rsidR="00F478EC" w14:paraId="2BD69916" w14:textId="77777777" w:rsidTr="009D3DC3">
        <w:trPr>
          <w:jc w:val="center"/>
        </w:trPr>
        <w:tc>
          <w:tcPr>
            <w:tcW w:w="6374" w:type="dxa"/>
            <w:gridSpan w:val="2"/>
            <w:vAlign w:val="center"/>
          </w:tcPr>
          <w:p w14:paraId="64C4DBAD" w14:textId="77777777" w:rsidR="00F478EC" w:rsidRDefault="00F478EC" w:rsidP="009D3DC3">
            <w:pPr>
              <w:jc w:val="center"/>
              <w:rPr>
                <w:color w:val="000000"/>
              </w:rPr>
            </w:pPr>
          </w:p>
          <w:p w14:paraId="2F88360C" w14:textId="6CA3D8E6" w:rsidR="00F478EC" w:rsidRDefault="00F478EC" w:rsidP="009D3DC3">
            <w:pPr>
              <w:jc w:val="center"/>
              <w:rPr>
                <w:color w:val="000000"/>
              </w:rPr>
            </w:pPr>
            <w:r w:rsidRPr="00F478EC">
              <w:rPr>
                <w:noProof/>
                <w:color w:val="000000"/>
              </w:rPr>
              <w:drawing>
                <wp:inline distT="0" distB="0" distL="0" distR="0" wp14:anchorId="0C294795" wp14:editId="1939FAB2">
                  <wp:extent cx="1965076" cy="342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19826" b="-7586"/>
                          <a:stretch/>
                        </pic:blipFill>
                        <pic:spPr bwMode="auto">
                          <a:xfrm>
                            <a:off x="0" y="0"/>
                            <a:ext cx="2085722" cy="36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B645E2" w14:textId="77777777" w:rsidR="00F478EC" w:rsidRDefault="00F478EC" w:rsidP="009D3DC3">
            <w:pPr>
              <w:jc w:val="center"/>
              <w:rPr>
                <w:color w:val="000000"/>
              </w:rPr>
            </w:pPr>
          </w:p>
          <w:p w14:paraId="05FC341D" w14:textId="5A68C015" w:rsidR="00F478EC" w:rsidRPr="00F478EC" w:rsidRDefault="009D3DC3" w:rsidP="009D3DC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Триэ</w:t>
            </w:r>
            <w:r w:rsidR="00F478EC" w:rsidRPr="00F478EC">
              <w:rPr>
                <w:b/>
                <w:color w:val="000000"/>
              </w:rPr>
              <w:t>тиленгликоль</w:t>
            </w:r>
            <w:proofErr w:type="spellEnd"/>
          </w:p>
        </w:tc>
        <w:tc>
          <w:tcPr>
            <w:tcW w:w="3686" w:type="dxa"/>
            <w:vAlign w:val="center"/>
          </w:tcPr>
          <w:p w14:paraId="4E5E86C1" w14:textId="77777777" w:rsidR="00F478EC" w:rsidRDefault="00F478EC" w:rsidP="009D3DC3">
            <w:pPr>
              <w:jc w:val="center"/>
              <w:rPr>
                <w:color w:val="000000"/>
              </w:rPr>
            </w:pPr>
            <w:r w:rsidRPr="00F478EC">
              <w:rPr>
                <w:noProof/>
                <w:color w:val="000000"/>
              </w:rPr>
              <w:drawing>
                <wp:inline distT="0" distB="0" distL="0" distR="0" wp14:anchorId="228B846E" wp14:editId="6086181B">
                  <wp:extent cx="1280160" cy="79276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52" b="21965"/>
                          <a:stretch/>
                        </pic:blipFill>
                        <pic:spPr bwMode="auto">
                          <a:xfrm>
                            <a:off x="0" y="0"/>
                            <a:ext cx="1290965" cy="79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68000C" w14:textId="2CD43C98" w:rsidR="00F478EC" w:rsidRPr="00F478EC" w:rsidRDefault="00F478EC" w:rsidP="009D3DC3">
            <w:pPr>
              <w:jc w:val="center"/>
              <w:rPr>
                <w:b/>
                <w:color w:val="000000"/>
              </w:rPr>
            </w:pPr>
            <w:proofErr w:type="spellStart"/>
            <w:r w:rsidRPr="00F478EC">
              <w:rPr>
                <w:b/>
                <w:color w:val="000000"/>
              </w:rPr>
              <w:t>Изофосфорон</w:t>
            </w:r>
            <w:proofErr w:type="spellEnd"/>
            <w:r w:rsidRPr="00F478EC">
              <w:rPr>
                <w:b/>
                <w:color w:val="000000"/>
              </w:rPr>
              <w:t xml:space="preserve"> диамин</w:t>
            </w:r>
          </w:p>
        </w:tc>
      </w:tr>
    </w:tbl>
    <w:p w14:paraId="1AFD8199" w14:textId="06628C27" w:rsidR="009F6D98" w:rsidRDefault="009F6D98" w:rsidP="009F6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04163CE" w14:textId="3BA23862" w:rsidR="00415071" w:rsidRDefault="00415071" w:rsidP="009D3D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Некоторые молекулы предполагаемых инициаторов реакции п</w:t>
      </w:r>
      <w:r w:rsidR="009D3DC3">
        <w:rPr>
          <w:color w:val="000000"/>
        </w:rPr>
        <w:t>оликонденсации, используемых</w:t>
      </w:r>
      <w:r>
        <w:rPr>
          <w:color w:val="000000"/>
        </w:rPr>
        <w:t xml:space="preserve"> в работе.</w:t>
      </w:r>
    </w:p>
    <w:p w14:paraId="6C6980B9" w14:textId="7D1BB044" w:rsidR="00756182" w:rsidRDefault="00415071" w:rsidP="009D3D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температуры, при которой скорость реакции максимальна, проводилось методом дифференциальной сканирующей калориметрии (ДСК). </w:t>
      </w:r>
      <w:r w:rsidR="00756182">
        <w:rPr>
          <w:color w:val="000000"/>
        </w:rPr>
        <w:t>На основании полученных данных б</w:t>
      </w:r>
      <w:r>
        <w:rPr>
          <w:color w:val="000000"/>
        </w:rPr>
        <w:t>ыл</w:t>
      </w:r>
      <w:r w:rsidR="00756182">
        <w:rPr>
          <w:color w:val="000000"/>
        </w:rPr>
        <w:t xml:space="preserve">и определены типы структур, инициирующих поликонденсацию. Также отмечены основные факторы, влияющие на температурные условия протекания реакции. </w:t>
      </w:r>
    </w:p>
    <w:p w14:paraId="395D44CF" w14:textId="3144CF85" w:rsidR="002311C4" w:rsidRDefault="00756182" w:rsidP="00756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изучения влияния структуры мономера были исследованы модельные смеси, состоящие из различных </w:t>
      </w:r>
      <w:proofErr w:type="spellStart"/>
      <w:r>
        <w:rPr>
          <w:color w:val="000000"/>
        </w:rPr>
        <w:t>фталонитрильных</w:t>
      </w:r>
      <w:proofErr w:type="spellEnd"/>
      <w:r>
        <w:rPr>
          <w:color w:val="000000"/>
        </w:rPr>
        <w:t xml:space="preserve"> мономеров и одного из трех наиболее перспективных типов </w:t>
      </w:r>
      <w:proofErr w:type="spellStart"/>
      <w:r>
        <w:rPr>
          <w:color w:val="000000"/>
        </w:rPr>
        <w:t>аминных</w:t>
      </w:r>
      <w:proofErr w:type="spellEnd"/>
      <w:r>
        <w:rPr>
          <w:color w:val="000000"/>
        </w:rPr>
        <w:t xml:space="preserve"> отвердителей.</w:t>
      </w:r>
    </w:p>
    <w:p w14:paraId="3486C755" w14:textId="1D3FD1E9" w:rsidR="00116478" w:rsidRDefault="002619FD" w:rsidP="002F7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619FD">
        <w:rPr>
          <w:i/>
          <w:iCs/>
          <w:color w:val="000000"/>
        </w:rPr>
        <w:t>Исследование выполнено за счет гранта Российского научного фонда (проект № 22-13-00449)</w:t>
      </w:r>
      <w:r w:rsidR="00A02163" w:rsidRPr="00A02163">
        <w:rPr>
          <w:i/>
          <w:iCs/>
          <w:color w:val="000000"/>
        </w:rPr>
        <w:t>.</w:t>
      </w:r>
    </w:p>
    <w:p w14:paraId="3464A3B3" w14:textId="0967ABB8" w:rsidR="002311C4" w:rsidRDefault="002311C4" w:rsidP="00231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693363F8" w14:textId="52E4BC3D" w:rsidR="002311C4" w:rsidRPr="002311C4" w:rsidRDefault="002311C4" w:rsidP="00231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15071">
        <w:rPr>
          <w:color w:val="000000"/>
        </w:rPr>
        <w:t xml:space="preserve">1. </w:t>
      </w:r>
      <w:proofErr w:type="spellStart"/>
      <w:r w:rsidRPr="002311C4">
        <w:rPr>
          <w:color w:val="000000"/>
          <w:lang w:val="en-US"/>
        </w:rPr>
        <w:t>Bulgakov</w:t>
      </w:r>
      <w:proofErr w:type="spellEnd"/>
      <w:r w:rsidRPr="00415071">
        <w:rPr>
          <w:color w:val="000000"/>
        </w:rPr>
        <w:t xml:space="preserve"> </w:t>
      </w:r>
      <w:r w:rsidRPr="002311C4">
        <w:rPr>
          <w:color w:val="000000"/>
          <w:lang w:val="en-US"/>
        </w:rPr>
        <w:t>B</w:t>
      </w:r>
      <w:r w:rsidRPr="00415071">
        <w:rPr>
          <w:color w:val="000000"/>
        </w:rPr>
        <w:t>.</w:t>
      </w:r>
      <w:r w:rsidRPr="002311C4">
        <w:rPr>
          <w:color w:val="000000"/>
          <w:lang w:val="en-US"/>
        </w:rPr>
        <w:t>A</w:t>
      </w:r>
      <w:r w:rsidRPr="00415071">
        <w:rPr>
          <w:color w:val="000000"/>
        </w:rPr>
        <w:t xml:space="preserve">. </w:t>
      </w:r>
      <w:r w:rsidRPr="002311C4">
        <w:rPr>
          <w:color w:val="000000"/>
          <w:lang w:val="en-US"/>
        </w:rPr>
        <w:t>et</w:t>
      </w:r>
      <w:r w:rsidRPr="00415071">
        <w:rPr>
          <w:color w:val="000000"/>
        </w:rPr>
        <w:t xml:space="preserve"> </w:t>
      </w:r>
      <w:r w:rsidRPr="002311C4">
        <w:rPr>
          <w:color w:val="000000"/>
          <w:lang w:val="en-US"/>
        </w:rPr>
        <w:t>al</w:t>
      </w:r>
      <w:r w:rsidRPr="00415071">
        <w:rPr>
          <w:color w:val="000000"/>
        </w:rPr>
        <w:t xml:space="preserve">. </w:t>
      </w:r>
      <w:proofErr w:type="spellStart"/>
      <w:r w:rsidRPr="002311C4">
        <w:rPr>
          <w:color w:val="000000"/>
          <w:lang w:val="en-US"/>
        </w:rPr>
        <w:t>Phthalonitrile</w:t>
      </w:r>
      <w:proofErr w:type="spellEnd"/>
      <w:r w:rsidRPr="002311C4">
        <w:rPr>
          <w:color w:val="000000"/>
          <w:lang w:val="en-US"/>
        </w:rPr>
        <w:t xml:space="preserve">-carbon fiber composites produced by vacuum infusion process // J. Compos. Mater. SAGE </w:t>
      </w:r>
      <w:proofErr w:type="spellStart"/>
      <w:r w:rsidRPr="002311C4">
        <w:rPr>
          <w:color w:val="000000"/>
          <w:lang w:val="en-US"/>
        </w:rPr>
        <w:t>PublicationsSage</w:t>
      </w:r>
      <w:proofErr w:type="spellEnd"/>
      <w:r w:rsidRPr="002311C4">
        <w:rPr>
          <w:color w:val="000000"/>
          <w:lang w:val="en-US"/>
        </w:rPr>
        <w:t xml:space="preserve"> UK: London, England, 2017. Vol. 51, № 30. P. 4157–4164.</w:t>
      </w:r>
    </w:p>
    <w:p w14:paraId="6DCCF70B" w14:textId="38F9B989" w:rsidR="002311C4" w:rsidRPr="002311C4" w:rsidRDefault="002311C4" w:rsidP="002311C4">
      <w:pPr>
        <w:jc w:val="both"/>
      </w:pPr>
      <w:r w:rsidRPr="002311C4">
        <w:rPr>
          <w:lang w:val="en-US"/>
        </w:rPr>
        <w:t xml:space="preserve">2. Yakovlev M.V. et al. Easy </w:t>
      </w:r>
      <w:proofErr w:type="spellStart"/>
      <w:r w:rsidRPr="002311C4">
        <w:rPr>
          <w:lang w:val="en-US"/>
        </w:rPr>
        <w:t>processable</w:t>
      </w:r>
      <w:proofErr w:type="spellEnd"/>
      <w:r w:rsidRPr="002311C4">
        <w:rPr>
          <w:lang w:val="en-US"/>
        </w:rPr>
        <w:t xml:space="preserve"> </w:t>
      </w:r>
      <w:proofErr w:type="spellStart"/>
      <w:r w:rsidRPr="002311C4">
        <w:rPr>
          <w:lang w:val="en-US"/>
        </w:rPr>
        <w:t>tris-phthalonitrile</w:t>
      </w:r>
      <w:proofErr w:type="spellEnd"/>
      <w:r w:rsidRPr="002311C4">
        <w:rPr>
          <w:lang w:val="en-US"/>
        </w:rPr>
        <w:t xml:space="preserve"> based resins and carbon fabric reinforced composites fabricated by vacuum infusion // Mater. Today </w:t>
      </w:r>
      <w:proofErr w:type="spellStart"/>
      <w:r w:rsidRPr="002311C4">
        <w:rPr>
          <w:lang w:val="en-US"/>
        </w:rPr>
        <w:t>Commun</w:t>
      </w:r>
      <w:proofErr w:type="spellEnd"/>
      <w:r w:rsidRPr="002311C4">
        <w:rPr>
          <w:lang w:val="en-US"/>
        </w:rPr>
        <w:t>. 2022. Vol. 33. P. 104738.</w:t>
      </w:r>
    </w:p>
    <w:sectPr w:rsidR="002311C4" w:rsidRPr="002311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7E00"/>
    <w:multiLevelType w:val="hybridMultilevel"/>
    <w:tmpl w:val="E7E8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EB4879"/>
    <w:multiLevelType w:val="hybridMultilevel"/>
    <w:tmpl w:val="FB06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11C4"/>
    <w:rsid w:val="0023307C"/>
    <w:rsid w:val="002619FD"/>
    <w:rsid w:val="002F7417"/>
    <w:rsid w:val="0031361E"/>
    <w:rsid w:val="00391C38"/>
    <w:rsid w:val="003B76D6"/>
    <w:rsid w:val="00415071"/>
    <w:rsid w:val="004A26A3"/>
    <w:rsid w:val="004F0EDF"/>
    <w:rsid w:val="00522BF1"/>
    <w:rsid w:val="00590166"/>
    <w:rsid w:val="005D022B"/>
    <w:rsid w:val="005E5BE9"/>
    <w:rsid w:val="00692A69"/>
    <w:rsid w:val="0069427D"/>
    <w:rsid w:val="006F7A19"/>
    <w:rsid w:val="007213E1"/>
    <w:rsid w:val="00756182"/>
    <w:rsid w:val="00775389"/>
    <w:rsid w:val="00797838"/>
    <w:rsid w:val="007C36D8"/>
    <w:rsid w:val="007F2744"/>
    <w:rsid w:val="008931BE"/>
    <w:rsid w:val="008C38D5"/>
    <w:rsid w:val="008C67E3"/>
    <w:rsid w:val="00921D45"/>
    <w:rsid w:val="009A66DB"/>
    <w:rsid w:val="009B2F80"/>
    <w:rsid w:val="009B3300"/>
    <w:rsid w:val="009D3DC3"/>
    <w:rsid w:val="009F3380"/>
    <w:rsid w:val="009F6D98"/>
    <w:rsid w:val="00A02163"/>
    <w:rsid w:val="00A314FE"/>
    <w:rsid w:val="00B81411"/>
    <w:rsid w:val="00BF36F8"/>
    <w:rsid w:val="00BF4622"/>
    <w:rsid w:val="00CD00B1"/>
    <w:rsid w:val="00D22306"/>
    <w:rsid w:val="00D42542"/>
    <w:rsid w:val="00D8121C"/>
    <w:rsid w:val="00E22189"/>
    <w:rsid w:val="00E74069"/>
    <w:rsid w:val="00EA0A5D"/>
    <w:rsid w:val="00EB1F49"/>
    <w:rsid w:val="00F478E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47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D0A5FA-4E29-4786-A553-4BC34F50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Kuchevskaya Marina</cp:lastModifiedBy>
  <cp:revision>10</cp:revision>
  <dcterms:created xsi:type="dcterms:W3CDTF">2022-11-07T09:18:00Z</dcterms:created>
  <dcterms:modified xsi:type="dcterms:W3CDTF">2024-02-16T19:57:00Z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