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ECFD2" w14:textId="77777777" w:rsidR="006403D3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463F2">
        <w:rPr>
          <w:b/>
          <w:color w:val="000000"/>
        </w:rPr>
        <w:t xml:space="preserve">Структура и реакционная способность водородных комплексов </w:t>
      </w:r>
      <w:proofErr w:type="spellStart"/>
      <w:r w:rsidRPr="00D463F2">
        <w:rPr>
          <w:b/>
          <w:color w:val="000000"/>
        </w:rPr>
        <w:t>протокатеховая</w:t>
      </w:r>
      <w:proofErr w:type="spellEnd"/>
      <w:r w:rsidRPr="00D463F2">
        <w:rPr>
          <w:b/>
          <w:color w:val="000000"/>
        </w:rPr>
        <w:t xml:space="preserve"> кислота–моносахарид в реакции с </w:t>
      </w:r>
      <w:r>
        <w:rPr>
          <w:b/>
          <w:color w:val="000000"/>
        </w:rPr>
        <w:t>2,2ꞌ-дифенил-1-пикрилгидразилом</w:t>
      </w:r>
    </w:p>
    <w:p w14:paraId="3277503B" w14:textId="77777777" w:rsidR="006403D3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Будникова</w:t>
      </w:r>
      <w:proofErr w:type="spellEnd"/>
      <w:r>
        <w:rPr>
          <w:b/>
          <w:i/>
          <w:color w:val="000000"/>
        </w:rPr>
        <w:t xml:space="preserve"> Е.А.</w:t>
      </w:r>
    </w:p>
    <w:p w14:paraId="264DAFF7" w14:textId="77777777" w:rsidR="006403D3" w:rsidRPr="00D463F2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>
        <w:rPr>
          <w:i/>
          <w:color w:val="000000"/>
        </w:rPr>
        <w:t>Аспирантка, 2</w:t>
      </w:r>
      <w:r w:rsidRPr="00D463F2">
        <w:rPr>
          <w:i/>
          <w:color w:val="000000"/>
        </w:rPr>
        <w:t xml:space="preserve"> год обучения</w:t>
      </w:r>
    </w:p>
    <w:p w14:paraId="0D6469FB" w14:textId="77777777" w:rsidR="006403D3" w:rsidRPr="00D463F2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D463F2">
        <w:rPr>
          <w:i/>
          <w:color w:val="000000"/>
        </w:rPr>
        <w:t xml:space="preserve">Донецкий </w:t>
      </w:r>
      <w:r>
        <w:rPr>
          <w:i/>
          <w:color w:val="000000"/>
        </w:rPr>
        <w:t>государственный</w:t>
      </w:r>
      <w:r w:rsidRPr="00D463F2">
        <w:rPr>
          <w:i/>
          <w:color w:val="000000"/>
        </w:rPr>
        <w:t xml:space="preserve"> университет,</w:t>
      </w:r>
    </w:p>
    <w:p w14:paraId="60426E17" w14:textId="77777777" w:rsidR="006403D3" w:rsidRPr="00D463F2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D463F2">
        <w:rPr>
          <w:i/>
          <w:color w:val="000000"/>
        </w:rPr>
        <w:t>химический факультет, Донецк, Россия</w:t>
      </w:r>
    </w:p>
    <w:p w14:paraId="6F865320" w14:textId="77777777" w:rsidR="006403D3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D463F2">
        <w:rPr>
          <w:i/>
          <w:color w:val="000000"/>
        </w:rPr>
        <w:t>E-</w:t>
      </w:r>
      <w:proofErr w:type="spellStart"/>
      <w:r w:rsidRPr="00D463F2">
        <w:rPr>
          <w:i/>
          <w:color w:val="000000"/>
        </w:rPr>
        <w:t>mail</w:t>
      </w:r>
      <w:proofErr w:type="spellEnd"/>
      <w:r w:rsidRPr="0068672E">
        <w:rPr>
          <w:i/>
          <w:color w:val="000000" w:themeColor="text1"/>
        </w:rPr>
        <w:t xml:space="preserve">: </w:t>
      </w:r>
      <w:hyperlink r:id="rId7" w:history="1">
        <w:r w:rsidRPr="0068672E">
          <w:rPr>
            <w:rStyle w:val="a9"/>
            <w:i/>
            <w:color w:val="000000" w:themeColor="text1"/>
          </w:rPr>
          <w:t>bbkatyy@mail.ru</w:t>
        </w:r>
      </w:hyperlink>
    </w:p>
    <w:p w14:paraId="0F2FEC9D" w14:textId="77777777" w:rsidR="006403D3" w:rsidRPr="006A5CDC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5CDC">
        <w:rPr>
          <w:color w:val="000000"/>
        </w:rPr>
        <w:t xml:space="preserve">Целью данной работы является исследование структуры водородных комплексов природной </w:t>
      </w:r>
      <w:proofErr w:type="spellStart"/>
      <w:r w:rsidRPr="006A5CDC">
        <w:rPr>
          <w:color w:val="000000"/>
        </w:rPr>
        <w:t>протокатеховой</w:t>
      </w:r>
      <w:proofErr w:type="spellEnd"/>
      <w:r w:rsidRPr="006A5CDC">
        <w:rPr>
          <w:color w:val="000000"/>
        </w:rPr>
        <w:t xml:space="preserve"> кислоты (</w:t>
      </w:r>
      <w:proofErr w:type="spellStart"/>
      <w:r w:rsidRPr="006A5CDC">
        <w:rPr>
          <w:color w:val="000000"/>
        </w:rPr>
        <w:t>ArOH</w:t>
      </w:r>
      <w:proofErr w:type="spellEnd"/>
      <w:r w:rsidRPr="006A5CDC">
        <w:rPr>
          <w:color w:val="000000"/>
        </w:rPr>
        <w:t>) c моносахаридами (</w:t>
      </w:r>
      <w:proofErr w:type="spellStart"/>
      <w:r w:rsidRPr="006A5CDC">
        <w:rPr>
          <w:color w:val="000000"/>
        </w:rPr>
        <w:t>Sacch</w:t>
      </w:r>
      <w:proofErr w:type="spellEnd"/>
      <w:r w:rsidRPr="006A5CDC">
        <w:rPr>
          <w:color w:val="000000"/>
        </w:rPr>
        <w:t>), а также реакционной способности названных комплексов в реакции с радикалом 2,2ꞌ-дифенил-1-пикрилгидразилом (DPPH</w:t>
      </w:r>
      <w:r w:rsidRPr="006A5CDC">
        <w:rPr>
          <w:color w:val="000000"/>
          <w:vertAlign w:val="superscript"/>
        </w:rPr>
        <w:t>•</w:t>
      </w:r>
      <w:r w:rsidRPr="006A5CDC">
        <w:rPr>
          <w:color w:val="000000"/>
        </w:rPr>
        <w:t xml:space="preserve">) в водных средах с различным уровнем </w:t>
      </w:r>
      <w:proofErr w:type="spellStart"/>
      <w:r w:rsidRPr="006A5CDC">
        <w:rPr>
          <w:color w:val="000000"/>
        </w:rPr>
        <w:t>pH</w:t>
      </w:r>
      <w:proofErr w:type="spellEnd"/>
      <w:r w:rsidRPr="006A5CDC">
        <w:rPr>
          <w:color w:val="000000"/>
        </w:rPr>
        <w:t>.</w:t>
      </w:r>
    </w:p>
    <w:p w14:paraId="3C94EB6C" w14:textId="77777777" w:rsidR="006403D3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5CDC">
        <w:rPr>
          <w:color w:val="000000"/>
        </w:rPr>
        <w:t>Для характеристики синергического эффекта использовали параметры, определенные по начальной скорости реакции фенолов, сахаридов и их смесей с DPPH</w:t>
      </w:r>
      <w:r w:rsidRPr="006A5CDC">
        <w:rPr>
          <w:color w:val="000000"/>
          <w:vertAlign w:val="superscript"/>
        </w:rPr>
        <w:t>•</w:t>
      </w:r>
      <w:r w:rsidRPr="006A5CDC">
        <w:rPr>
          <w:color w:val="000000"/>
        </w:rPr>
        <w:t xml:space="preserve"> методом </w:t>
      </w:r>
      <w:proofErr w:type="spellStart"/>
      <w:r w:rsidRPr="006A5CDC">
        <w:rPr>
          <w:color w:val="000000"/>
        </w:rPr>
        <w:t>фотоколориметрии</w:t>
      </w:r>
      <w:proofErr w:type="spellEnd"/>
      <w:r w:rsidRPr="006A5CDC">
        <w:rPr>
          <w:color w:val="000000"/>
        </w:rPr>
        <w:t>:</w:t>
      </w:r>
    </w:p>
    <w:p w14:paraId="38186467" w14:textId="77777777" w:rsidR="006403D3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5CDC">
        <w:rPr>
          <w:color w:val="000000"/>
        </w:rPr>
        <w:t xml:space="preserve">1)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 w:rsidRPr="006A5CDC">
        <w:t xml:space="preserve"> </w:t>
      </w:r>
      <w:r w:rsidRPr="006A5CDC">
        <w:rPr>
          <w:color w:val="000000"/>
        </w:rPr>
        <w:t xml:space="preserve">– усиление </w:t>
      </w:r>
      <w:proofErr w:type="spellStart"/>
      <w:r w:rsidRPr="006A5CDC">
        <w:rPr>
          <w:color w:val="000000"/>
        </w:rPr>
        <w:t>антирадикального</w:t>
      </w:r>
      <w:proofErr w:type="spellEnd"/>
      <w:r w:rsidRPr="006A5CDC">
        <w:rPr>
          <w:color w:val="000000"/>
        </w:rPr>
        <w:t xml:space="preserve"> действия смеси по сравнению с аддитивным действием</w:t>
      </w:r>
      <w:r>
        <w:rPr>
          <w:color w:val="000000"/>
        </w:rPr>
        <w:t xml:space="preserve"> </w:t>
      </w:r>
      <w:r w:rsidRPr="006A5CDC">
        <w:rPr>
          <w:color w:val="000000"/>
        </w:rPr>
        <w:t>фенола и углевода;</w:t>
      </w:r>
    </w:p>
    <w:p w14:paraId="1AD098EA" w14:textId="77777777" w:rsidR="006403D3" w:rsidRPr="006A5CDC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5CDC">
        <w:rPr>
          <w:color w:val="000000"/>
        </w:rPr>
        <w:t xml:space="preserve">2) </w:t>
      </w:r>
      <m:oMath>
        <m:r>
          <w:rPr>
            <w:rFonts w:ascii="Cambria Math" w:hAnsi="Cambria Math"/>
            <w:color w:val="000000"/>
          </w:rPr>
          <m:t>S</m:t>
        </m:r>
      </m:oMath>
      <w:r w:rsidRPr="006A5CDC">
        <w:rPr>
          <w:color w:val="000000"/>
        </w:rPr>
        <w:t xml:space="preserve"> – усиление антирадикального действия смеси по сравнению с действием протокатеховой кислоты, взятой в концентрации, равной сумме концентраций фенола и сахарида в смеси.</w:t>
      </w:r>
    </w:p>
    <w:p w14:paraId="4F870626" w14:textId="77777777" w:rsidR="006403D3" w:rsidRPr="006A5CDC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A5CDC">
        <w:rPr>
          <w:rFonts w:hint="eastAsia"/>
          <w:color w:val="000000"/>
        </w:rPr>
        <w:t>Установлено</w:t>
      </w:r>
      <w:r w:rsidRPr="006A5CDC">
        <w:rPr>
          <w:color w:val="000000"/>
        </w:rPr>
        <w:t xml:space="preserve"> (Таблица 1), что в кислых средах бинарные композиции </w:t>
      </w:r>
      <w:proofErr w:type="spellStart"/>
      <w:r w:rsidRPr="006A5CDC">
        <w:rPr>
          <w:color w:val="000000"/>
        </w:rPr>
        <w:t>протокатеховой</w:t>
      </w:r>
      <w:proofErr w:type="spellEnd"/>
      <w:r w:rsidRPr="006A5CDC">
        <w:rPr>
          <w:color w:val="000000"/>
        </w:rPr>
        <w:t xml:space="preserve"> кислоты с моносахаридами (галактозой, </w:t>
      </w:r>
      <w:proofErr w:type="spellStart"/>
      <w:r w:rsidRPr="006A5CDC">
        <w:rPr>
          <w:color w:val="000000"/>
        </w:rPr>
        <w:t>маннозой</w:t>
      </w:r>
      <w:proofErr w:type="spellEnd"/>
      <w:r w:rsidRPr="006A5CDC">
        <w:rPr>
          <w:color w:val="000000"/>
        </w:rPr>
        <w:t xml:space="preserve">) проявляют выраженный </w:t>
      </w:r>
      <w:proofErr w:type="spellStart"/>
      <w:r w:rsidRPr="006A5CDC">
        <w:rPr>
          <w:color w:val="000000"/>
        </w:rPr>
        <w:t>антирадикальный</w:t>
      </w:r>
      <w:proofErr w:type="spellEnd"/>
      <w:r w:rsidRPr="006A5CDC">
        <w:rPr>
          <w:color w:val="000000"/>
        </w:rPr>
        <w:t xml:space="preserve"> синергический эффект в реакции с 2,2ʹ-дифенил-1-пикрилгидразилом. Синергические свойства фено</w:t>
      </w:r>
      <w:r w:rsidRPr="001F0872">
        <w:rPr>
          <w:color w:val="000000"/>
        </w:rPr>
        <w:t>льно</w:t>
      </w:r>
      <w:r w:rsidRPr="006A5CDC">
        <w:rPr>
          <w:color w:val="000000"/>
        </w:rPr>
        <w:t>-</w:t>
      </w:r>
      <w:proofErr w:type="spellStart"/>
      <w:r w:rsidRPr="006A5CDC">
        <w:rPr>
          <w:color w:val="000000"/>
        </w:rPr>
        <w:t>сахаридных</w:t>
      </w:r>
      <w:proofErr w:type="spellEnd"/>
      <w:r w:rsidRPr="006A5CDC">
        <w:rPr>
          <w:color w:val="000000"/>
        </w:rPr>
        <w:t xml:space="preserve"> смесей снижаются с ростом </w:t>
      </w:r>
      <w:proofErr w:type="spellStart"/>
      <w:r w:rsidRPr="006A5CDC">
        <w:rPr>
          <w:color w:val="000000"/>
        </w:rPr>
        <w:t>pH</w:t>
      </w:r>
      <w:proofErr w:type="spellEnd"/>
      <w:r w:rsidRPr="006A5CDC">
        <w:rPr>
          <w:color w:val="000000"/>
        </w:rPr>
        <w:t xml:space="preserve"> среды.</w:t>
      </w:r>
    </w:p>
    <w:p w14:paraId="0A03C20A" w14:textId="77777777" w:rsidR="006403D3" w:rsidRPr="006A5CDC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6C11B0">
        <w:rPr>
          <w:color w:val="000000"/>
        </w:rPr>
        <w:t>Таблица 1. Эффекты</w:t>
      </w:r>
      <w:r w:rsidRPr="006A5CDC">
        <w:rPr>
          <w:color w:val="000000"/>
        </w:rPr>
        <w:t xml:space="preserve"> синергизма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 w:rsidRPr="006A5CDC">
        <w:rPr>
          <w:color w:val="000000"/>
        </w:rPr>
        <w:t xml:space="preserve"> и </w:t>
      </w:r>
      <m:oMath>
        <m:r>
          <w:rPr>
            <w:rFonts w:ascii="Cambria Math" w:hAnsi="Cambria Math"/>
            <w:color w:val="000000"/>
          </w:rPr>
          <m:t>S</m:t>
        </m:r>
      </m:oMath>
      <w:r w:rsidRPr="006A5CDC">
        <w:rPr>
          <w:color w:val="000000"/>
        </w:rPr>
        <w:t>) бинарных композиций протокатеховая кислота</w:t>
      </w:r>
      <w:r>
        <w:rPr>
          <w:color w:val="000000"/>
        </w:rPr>
        <w:t xml:space="preserve"> </w:t>
      </w:r>
      <w:r w:rsidRPr="006A5CDC">
        <w:rPr>
          <w:color w:val="000000"/>
        </w:rPr>
        <w:t>–</w:t>
      </w:r>
      <w:r>
        <w:rPr>
          <w:color w:val="000000"/>
        </w:rPr>
        <w:t xml:space="preserve"> </w:t>
      </w:r>
      <w:r w:rsidRPr="006A5CDC">
        <w:rPr>
          <w:color w:val="000000"/>
        </w:rPr>
        <w:t>моносахарид в реакции с DPPH</w:t>
      </w:r>
      <w:r w:rsidRPr="006A5CDC">
        <w:rPr>
          <w:color w:val="000000"/>
          <w:vertAlign w:val="superscript"/>
        </w:rPr>
        <w:t>•</w:t>
      </w:r>
      <w:r w:rsidRPr="006A5CDC">
        <w:rPr>
          <w:color w:val="000000"/>
        </w:rPr>
        <w:t xml:space="preserve"> в водных средах с </w:t>
      </w:r>
      <w:proofErr w:type="gramStart"/>
      <w:r w:rsidRPr="006A5CDC">
        <w:rPr>
          <w:color w:val="000000"/>
        </w:rPr>
        <w:t>разным</w:t>
      </w:r>
      <w:proofErr w:type="gramEnd"/>
      <w:r w:rsidRPr="006A5CDC">
        <w:rPr>
          <w:color w:val="000000"/>
        </w:rPr>
        <w:t xml:space="preserve"> </w:t>
      </w:r>
      <w:proofErr w:type="spellStart"/>
      <w:r w:rsidRPr="006A5CDC">
        <w:rPr>
          <w:color w:val="000000"/>
        </w:rPr>
        <w:t>pH</w:t>
      </w:r>
      <w:proofErr w:type="spellEnd"/>
    </w:p>
    <w:tbl>
      <w:tblPr>
        <w:tblStyle w:val="ac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1026"/>
        <w:gridCol w:w="601"/>
        <w:gridCol w:w="1107"/>
        <w:gridCol w:w="601"/>
        <w:gridCol w:w="1377"/>
        <w:gridCol w:w="601"/>
      </w:tblGrid>
      <w:tr w:rsidR="006403D3" w14:paraId="1F074448" w14:textId="77777777" w:rsidTr="00DF1291">
        <w:trPr>
          <w:trHeight w:val="252"/>
          <w:jc w:val="center"/>
        </w:trPr>
        <w:tc>
          <w:tcPr>
            <w:tcW w:w="1492" w:type="dxa"/>
            <w:vMerge w:val="restart"/>
            <w:vAlign w:val="center"/>
          </w:tcPr>
          <w:p w14:paraId="4D37B221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sz w:val="22"/>
                <w:szCs w:val="22"/>
                <w:lang w:eastAsia="en-US"/>
              </w:rPr>
              <w:t>Моносахарид</w:t>
            </w:r>
          </w:p>
        </w:tc>
        <w:tc>
          <w:tcPr>
            <w:tcW w:w="1627" w:type="dxa"/>
            <w:gridSpan w:val="2"/>
            <w:vAlign w:val="center"/>
          </w:tcPr>
          <w:p w14:paraId="6CB9742D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iCs/>
                <w:sz w:val="22"/>
                <w:szCs w:val="22"/>
                <w:lang w:val="en-US" w:eastAsia="en-US"/>
              </w:rPr>
              <w:t>pH</w:t>
            </w:r>
            <w:r w:rsidRPr="005249D3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= 2</w:t>
            </w:r>
          </w:p>
        </w:tc>
        <w:tc>
          <w:tcPr>
            <w:tcW w:w="1708" w:type="dxa"/>
            <w:gridSpan w:val="2"/>
            <w:vAlign w:val="center"/>
          </w:tcPr>
          <w:p w14:paraId="21AADA89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iCs/>
                <w:sz w:val="22"/>
                <w:szCs w:val="22"/>
                <w:lang w:val="en-US" w:eastAsia="en-US"/>
              </w:rPr>
              <w:t>pH</w:t>
            </w:r>
            <w:r w:rsidRPr="005249D3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= 7.35</w:t>
            </w:r>
          </w:p>
        </w:tc>
        <w:tc>
          <w:tcPr>
            <w:tcW w:w="1978" w:type="dxa"/>
            <w:gridSpan w:val="2"/>
            <w:vAlign w:val="center"/>
          </w:tcPr>
          <w:p w14:paraId="328E7ABC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iCs/>
                <w:sz w:val="22"/>
                <w:szCs w:val="22"/>
                <w:lang w:val="en-US" w:eastAsia="en-US"/>
              </w:rPr>
              <w:t>pH</w:t>
            </w:r>
            <w:r w:rsidRPr="005249D3">
              <w:rPr>
                <w:rFonts w:eastAsia="Calibri"/>
                <w:iCs/>
                <w:sz w:val="22"/>
                <w:szCs w:val="22"/>
                <w:lang w:eastAsia="en-US"/>
              </w:rPr>
              <w:t xml:space="preserve"> = 9</w:t>
            </w:r>
          </w:p>
        </w:tc>
      </w:tr>
      <w:tr w:rsidR="006403D3" w14:paraId="3B4E43E7" w14:textId="77777777" w:rsidTr="00DF1291">
        <w:trPr>
          <w:trHeight w:val="147"/>
          <w:jc w:val="center"/>
        </w:trPr>
        <w:tc>
          <w:tcPr>
            <w:tcW w:w="1492" w:type="dxa"/>
            <w:vMerge/>
            <w:tcBorders>
              <w:bottom w:val="single" w:sz="4" w:space="0" w:color="auto"/>
            </w:tcBorders>
            <w:vAlign w:val="center"/>
          </w:tcPr>
          <w:p w14:paraId="74D34AA8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68E3FA54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49D3">
              <w:rPr>
                <w:rFonts w:eastAsia="Calibri"/>
                <w:i/>
                <w:sz w:val="22"/>
                <w:szCs w:val="22"/>
                <w:lang w:eastAsia="en-US"/>
              </w:rPr>
              <w:t>SE</w:t>
            </w:r>
            <w:r w:rsidRPr="005249D3">
              <w:rPr>
                <w:rFonts w:eastAsia="Calibri"/>
                <w:iCs/>
                <w:sz w:val="22"/>
                <w:szCs w:val="22"/>
                <w:vertAlign w:val="subscript"/>
                <w:lang w:eastAsia="en-US"/>
              </w:rPr>
              <w:t>max</w:t>
            </w:r>
            <w:proofErr w:type="spellEnd"/>
            <w:r w:rsidRPr="005249D3">
              <w:rPr>
                <w:rFonts w:eastAsia="Calibri"/>
                <w:iCs/>
                <w:sz w:val="22"/>
                <w:szCs w:val="22"/>
                <w:lang w:eastAsia="en-US"/>
              </w:rPr>
              <w:t>, %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D07468E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6B2A677C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49D3">
              <w:rPr>
                <w:rFonts w:eastAsia="Calibri"/>
                <w:i/>
                <w:sz w:val="22"/>
                <w:szCs w:val="22"/>
                <w:lang w:eastAsia="en-US"/>
              </w:rPr>
              <w:t>SE</w:t>
            </w:r>
            <w:r w:rsidRPr="005249D3">
              <w:rPr>
                <w:rFonts w:eastAsia="Calibri"/>
                <w:iCs/>
                <w:sz w:val="22"/>
                <w:szCs w:val="22"/>
                <w:vertAlign w:val="subscript"/>
                <w:lang w:eastAsia="en-US"/>
              </w:rPr>
              <w:t>max</w:t>
            </w:r>
            <w:proofErr w:type="spellEnd"/>
            <w:r w:rsidRPr="005249D3">
              <w:rPr>
                <w:rFonts w:eastAsia="Calibri"/>
                <w:iCs/>
                <w:sz w:val="22"/>
                <w:szCs w:val="22"/>
                <w:lang w:eastAsia="en-US"/>
              </w:rPr>
              <w:t>, %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4D0FF33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70DB2ACE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49D3">
              <w:rPr>
                <w:rFonts w:eastAsia="Calibri"/>
                <w:i/>
                <w:sz w:val="22"/>
                <w:szCs w:val="22"/>
                <w:lang w:eastAsia="en-US"/>
              </w:rPr>
              <w:t>SE</w:t>
            </w:r>
            <w:r w:rsidRPr="005249D3">
              <w:rPr>
                <w:rFonts w:eastAsia="Calibri"/>
                <w:iCs/>
                <w:sz w:val="22"/>
                <w:szCs w:val="22"/>
                <w:vertAlign w:val="subscript"/>
                <w:lang w:eastAsia="en-US"/>
              </w:rPr>
              <w:t>max</w:t>
            </w:r>
            <w:proofErr w:type="spellEnd"/>
            <w:r w:rsidRPr="005249D3">
              <w:rPr>
                <w:rFonts w:eastAsia="Calibri"/>
                <w:iCs/>
                <w:sz w:val="22"/>
                <w:szCs w:val="22"/>
                <w:lang w:eastAsia="en-US"/>
              </w:rPr>
              <w:t>, %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3061487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i/>
                <w:sz w:val="22"/>
                <w:szCs w:val="22"/>
                <w:lang w:eastAsia="en-US"/>
              </w:rPr>
              <w:t>S</w:t>
            </w:r>
          </w:p>
        </w:tc>
      </w:tr>
      <w:tr w:rsidR="006403D3" w14:paraId="7792535D" w14:textId="77777777" w:rsidTr="00DF1291">
        <w:trPr>
          <w:trHeight w:val="252"/>
          <w:jc w:val="center"/>
        </w:trPr>
        <w:tc>
          <w:tcPr>
            <w:tcW w:w="1492" w:type="dxa"/>
            <w:tcBorders>
              <w:bottom w:val="nil"/>
            </w:tcBorders>
            <w:vAlign w:val="center"/>
          </w:tcPr>
          <w:p w14:paraId="448FCBFC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sz w:val="22"/>
                <w:szCs w:val="22"/>
                <w:lang w:eastAsia="en-US"/>
              </w:rPr>
              <w:t>глюкоза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14:paraId="5B915EEF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23.2±0.9</w:t>
            </w:r>
          </w:p>
        </w:tc>
        <w:tc>
          <w:tcPr>
            <w:tcW w:w="601" w:type="dxa"/>
            <w:tcBorders>
              <w:bottom w:val="nil"/>
            </w:tcBorders>
            <w:vAlign w:val="center"/>
          </w:tcPr>
          <w:p w14:paraId="72F3CF3D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0.86</w:t>
            </w:r>
          </w:p>
        </w:tc>
        <w:tc>
          <w:tcPr>
            <w:tcW w:w="1107" w:type="dxa"/>
            <w:tcBorders>
              <w:bottom w:val="nil"/>
            </w:tcBorders>
            <w:vAlign w:val="center"/>
          </w:tcPr>
          <w:p w14:paraId="0E623DE4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9.8±0.4</w:t>
            </w:r>
          </w:p>
        </w:tc>
        <w:tc>
          <w:tcPr>
            <w:tcW w:w="601" w:type="dxa"/>
            <w:tcBorders>
              <w:bottom w:val="nil"/>
            </w:tcBorders>
            <w:vAlign w:val="center"/>
          </w:tcPr>
          <w:p w14:paraId="69ED0880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0.77</w:t>
            </w:r>
          </w:p>
        </w:tc>
        <w:tc>
          <w:tcPr>
            <w:tcW w:w="1377" w:type="dxa"/>
            <w:tcBorders>
              <w:bottom w:val="nil"/>
            </w:tcBorders>
            <w:vAlign w:val="center"/>
          </w:tcPr>
          <w:p w14:paraId="456C0AF0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4.51±0.18</w:t>
            </w:r>
          </w:p>
        </w:tc>
        <w:tc>
          <w:tcPr>
            <w:tcW w:w="601" w:type="dxa"/>
            <w:tcBorders>
              <w:bottom w:val="nil"/>
            </w:tcBorders>
            <w:vAlign w:val="center"/>
          </w:tcPr>
          <w:p w14:paraId="5CEC7D5D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0.73</w:t>
            </w:r>
          </w:p>
        </w:tc>
      </w:tr>
      <w:tr w:rsidR="006403D3" w14:paraId="06FCA0DC" w14:textId="77777777" w:rsidTr="00DF1291">
        <w:trPr>
          <w:trHeight w:val="263"/>
          <w:jc w:val="center"/>
        </w:trPr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43951D48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sz w:val="22"/>
                <w:szCs w:val="22"/>
                <w:lang w:eastAsia="en-US"/>
              </w:rPr>
              <w:t>галактоза</w: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4A912ECB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58.0±1.7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3EBD0135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1.11</w:t>
            </w:r>
          </w:p>
        </w:tc>
        <w:tc>
          <w:tcPr>
            <w:tcW w:w="1107" w:type="dxa"/>
            <w:tcBorders>
              <w:top w:val="nil"/>
              <w:bottom w:val="nil"/>
            </w:tcBorders>
            <w:vAlign w:val="center"/>
          </w:tcPr>
          <w:p w14:paraId="73E41176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18.4±0.7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0F7ED973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0.83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1068D4BE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4.90±0.19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20B626D6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0.73</w:t>
            </w:r>
          </w:p>
        </w:tc>
      </w:tr>
      <w:tr w:rsidR="006403D3" w14:paraId="379DF9D9" w14:textId="77777777" w:rsidTr="00DF1291">
        <w:trPr>
          <w:trHeight w:val="252"/>
          <w:jc w:val="center"/>
        </w:trPr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24B3C57B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49D3">
              <w:rPr>
                <w:rFonts w:eastAsia="Calibri"/>
                <w:sz w:val="22"/>
                <w:szCs w:val="22"/>
                <w:lang w:eastAsia="en-US"/>
              </w:rPr>
              <w:t>манноза</w:t>
            </w:r>
            <w:proofErr w:type="spellEnd"/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1FABC3F2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41.3±1.4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B88E09A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1.05</w:t>
            </w:r>
          </w:p>
        </w:tc>
        <w:tc>
          <w:tcPr>
            <w:tcW w:w="1107" w:type="dxa"/>
            <w:tcBorders>
              <w:top w:val="nil"/>
              <w:bottom w:val="nil"/>
            </w:tcBorders>
            <w:vAlign w:val="center"/>
          </w:tcPr>
          <w:p w14:paraId="6D1D2492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12.0±0.4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210F0D3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0.78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2EF384D4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4.51±0.18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4F3B7901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0.73</w:t>
            </w:r>
          </w:p>
        </w:tc>
      </w:tr>
      <w:tr w:rsidR="006403D3" w14:paraId="20D98198" w14:textId="77777777" w:rsidTr="00DF1291">
        <w:trPr>
          <w:trHeight w:val="263"/>
          <w:jc w:val="center"/>
        </w:trPr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4286D58B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sz w:val="22"/>
                <w:szCs w:val="22"/>
                <w:lang w:eastAsia="en-US"/>
              </w:rPr>
              <w:t>фруктоза</w: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49BB1BEC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24.9±0.9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2A2B1230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0.87</w:t>
            </w:r>
          </w:p>
        </w:tc>
        <w:tc>
          <w:tcPr>
            <w:tcW w:w="1107" w:type="dxa"/>
            <w:tcBorders>
              <w:top w:val="nil"/>
              <w:bottom w:val="nil"/>
            </w:tcBorders>
            <w:vAlign w:val="center"/>
          </w:tcPr>
          <w:p w14:paraId="51659307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9.9±0.3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40C65A58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0.77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1484C3E7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3.69±0.11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445C37E7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0.73</w:t>
            </w:r>
          </w:p>
        </w:tc>
      </w:tr>
      <w:tr w:rsidR="006403D3" w14:paraId="4AEB5C8D" w14:textId="77777777" w:rsidTr="00DF1291">
        <w:trPr>
          <w:trHeight w:val="252"/>
          <w:jc w:val="center"/>
        </w:trPr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534D748B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249D3">
              <w:rPr>
                <w:rFonts w:eastAsia="Calibri"/>
                <w:sz w:val="22"/>
                <w:szCs w:val="22"/>
                <w:lang w:eastAsia="en-US"/>
              </w:rPr>
              <w:t>сорбоза</w:t>
            </w:r>
            <w:proofErr w:type="spellEnd"/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5D7CC78B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28.4±0.9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700118A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0.90</w:t>
            </w:r>
          </w:p>
        </w:tc>
        <w:tc>
          <w:tcPr>
            <w:tcW w:w="1107" w:type="dxa"/>
            <w:tcBorders>
              <w:top w:val="nil"/>
              <w:bottom w:val="nil"/>
            </w:tcBorders>
            <w:vAlign w:val="center"/>
          </w:tcPr>
          <w:p w14:paraId="78ADA023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8.2±0.3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37E56A15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0.76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77237BC5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3.80±0.11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27503419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0.73</w:t>
            </w:r>
          </w:p>
        </w:tc>
      </w:tr>
      <w:tr w:rsidR="006403D3" w14:paraId="22D3AC30" w14:textId="77777777" w:rsidTr="00DF1291">
        <w:trPr>
          <w:trHeight w:val="252"/>
          <w:jc w:val="center"/>
        </w:trPr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424A7346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sz w:val="22"/>
                <w:szCs w:val="22"/>
                <w:lang w:eastAsia="en-US"/>
              </w:rPr>
              <w:t>арабиноза</w: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3D352D68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17.7±0.7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3C1BB49D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0.82</w:t>
            </w:r>
          </w:p>
        </w:tc>
        <w:tc>
          <w:tcPr>
            <w:tcW w:w="1107" w:type="dxa"/>
            <w:tcBorders>
              <w:top w:val="nil"/>
              <w:bottom w:val="nil"/>
            </w:tcBorders>
            <w:vAlign w:val="center"/>
          </w:tcPr>
          <w:p w14:paraId="0DECCFF8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3.9±0.12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50F303E8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0.73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15E9B892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1.02±0.05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425A71FC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0.71</w:t>
            </w:r>
          </w:p>
        </w:tc>
      </w:tr>
      <w:tr w:rsidR="006403D3" w14:paraId="6F0CFFD5" w14:textId="77777777" w:rsidTr="00DF1291">
        <w:trPr>
          <w:trHeight w:val="263"/>
          <w:jc w:val="center"/>
        </w:trPr>
        <w:tc>
          <w:tcPr>
            <w:tcW w:w="1492" w:type="dxa"/>
            <w:tcBorders>
              <w:top w:val="nil"/>
              <w:bottom w:val="nil"/>
            </w:tcBorders>
            <w:vAlign w:val="center"/>
          </w:tcPr>
          <w:p w14:paraId="2D816689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sz w:val="22"/>
                <w:szCs w:val="22"/>
                <w:lang w:eastAsia="en-US"/>
              </w:rPr>
              <w:t>ксилоза</w:t>
            </w: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14:paraId="584758FB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21.0±0.8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442D6C66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0.85</w:t>
            </w:r>
          </w:p>
        </w:tc>
        <w:tc>
          <w:tcPr>
            <w:tcW w:w="1107" w:type="dxa"/>
            <w:tcBorders>
              <w:top w:val="nil"/>
              <w:bottom w:val="nil"/>
            </w:tcBorders>
            <w:vAlign w:val="center"/>
          </w:tcPr>
          <w:p w14:paraId="1DA46F61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5.1±0.2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4851AC69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vAlign w:val="center"/>
          </w:tcPr>
          <w:p w14:paraId="00501FA0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1.81±0.06</w:t>
            </w:r>
          </w:p>
        </w:tc>
        <w:tc>
          <w:tcPr>
            <w:tcW w:w="601" w:type="dxa"/>
            <w:tcBorders>
              <w:top w:val="nil"/>
              <w:bottom w:val="nil"/>
            </w:tcBorders>
            <w:vAlign w:val="center"/>
          </w:tcPr>
          <w:p w14:paraId="1CD9EAAF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0.71</w:t>
            </w:r>
          </w:p>
        </w:tc>
      </w:tr>
      <w:tr w:rsidR="006403D3" w14:paraId="709957DB" w14:textId="77777777" w:rsidTr="00DF1291">
        <w:trPr>
          <w:trHeight w:val="263"/>
          <w:jc w:val="center"/>
        </w:trPr>
        <w:tc>
          <w:tcPr>
            <w:tcW w:w="1492" w:type="dxa"/>
            <w:tcBorders>
              <w:top w:val="nil"/>
            </w:tcBorders>
            <w:vAlign w:val="center"/>
          </w:tcPr>
          <w:p w14:paraId="60BF88CF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sz w:val="22"/>
                <w:szCs w:val="22"/>
                <w:lang w:eastAsia="en-US"/>
              </w:rPr>
              <w:t>рибоза</w:t>
            </w:r>
          </w:p>
        </w:tc>
        <w:tc>
          <w:tcPr>
            <w:tcW w:w="1026" w:type="dxa"/>
            <w:tcBorders>
              <w:top w:val="nil"/>
            </w:tcBorders>
            <w:vAlign w:val="center"/>
          </w:tcPr>
          <w:p w14:paraId="2EF065E9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7.8±0.3</w:t>
            </w:r>
          </w:p>
        </w:tc>
        <w:tc>
          <w:tcPr>
            <w:tcW w:w="601" w:type="dxa"/>
            <w:tcBorders>
              <w:top w:val="nil"/>
            </w:tcBorders>
            <w:vAlign w:val="center"/>
          </w:tcPr>
          <w:p w14:paraId="57826705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0.75</w:t>
            </w:r>
          </w:p>
        </w:tc>
        <w:tc>
          <w:tcPr>
            <w:tcW w:w="1107" w:type="dxa"/>
            <w:tcBorders>
              <w:top w:val="nil"/>
            </w:tcBorders>
            <w:vAlign w:val="center"/>
          </w:tcPr>
          <w:p w14:paraId="40B720AE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3.50±0.12</w:t>
            </w:r>
          </w:p>
        </w:tc>
        <w:tc>
          <w:tcPr>
            <w:tcW w:w="601" w:type="dxa"/>
            <w:tcBorders>
              <w:top w:val="nil"/>
            </w:tcBorders>
            <w:vAlign w:val="center"/>
          </w:tcPr>
          <w:p w14:paraId="4C6D8256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0.72</w:t>
            </w:r>
          </w:p>
        </w:tc>
        <w:tc>
          <w:tcPr>
            <w:tcW w:w="1377" w:type="dxa"/>
            <w:tcBorders>
              <w:top w:val="nil"/>
            </w:tcBorders>
            <w:vAlign w:val="center"/>
          </w:tcPr>
          <w:p w14:paraId="202DEFE4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-(2.09±0.06)</w:t>
            </w:r>
          </w:p>
        </w:tc>
        <w:tc>
          <w:tcPr>
            <w:tcW w:w="601" w:type="dxa"/>
            <w:tcBorders>
              <w:top w:val="nil"/>
            </w:tcBorders>
            <w:vAlign w:val="center"/>
          </w:tcPr>
          <w:p w14:paraId="1D58BEB8" w14:textId="77777777" w:rsidR="006403D3" w:rsidRPr="006C371F" w:rsidRDefault="006403D3" w:rsidP="00DF1291">
            <w:pPr>
              <w:jc w:val="center"/>
              <w:rPr>
                <w:color w:val="000000"/>
                <w:sz w:val="22"/>
                <w:szCs w:val="22"/>
              </w:rPr>
            </w:pPr>
            <w:r w:rsidRPr="005249D3">
              <w:rPr>
                <w:rFonts w:eastAsia="Calibri"/>
                <w:color w:val="000000"/>
                <w:sz w:val="22"/>
                <w:szCs w:val="22"/>
                <w:lang w:eastAsia="en-US"/>
              </w:rPr>
              <w:t>0.69</w:t>
            </w:r>
          </w:p>
        </w:tc>
      </w:tr>
    </w:tbl>
    <w:p w14:paraId="45CC638B" w14:textId="77777777" w:rsidR="006403D3" w:rsidRPr="008B56A7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z w:val="22"/>
        </w:rPr>
      </w:pPr>
      <w:r w:rsidRPr="008B56A7">
        <w:rPr>
          <w:color w:val="000000"/>
          <w:sz w:val="22"/>
        </w:rPr>
        <w:t>Примечание. Соотношение фенол–сахарид в</w:t>
      </w:r>
      <w:r>
        <w:rPr>
          <w:color w:val="000000"/>
          <w:sz w:val="22"/>
        </w:rPr>
        <w:t xml:space="preserve"> растворе 70:30 </w:t>
      </w:r>
      <w:proofErr w:type="gramStart"/>
      <w:r>
        <w:rPr>
          <w:color w:val="000000"/>
          <w:sz w:val="22"/>
        </w:rPr>
        <w:t>об</w:t>
      </w:r>
      <w:proofErr w:type="gramEnd"/>
      <w:r>
        <w:rPr>
          <w:color w:val="000000"/>
          <w:sz w:val="22"/>
        </w:rPr>
        <w:t xml:space="preserve"> % </w:t>
      </w:r>
      <w:proofErr w:type="gramStart"/>
      <w:r>
        <w:rPr>
          <w:color w:val="000000"/>
          <w:sz w:val="22"/>
        </w:rPr>
        <w:t>с</w:t>
      </w:r>
      <w:proofErr w:type="gramEnd"/>
      <w:r>
        <w:rPr>
          <w:color w:val="000000"/>
          <w:sz w:val="22"/>
        </w:rPr>
        <w:t xml:space="preserve"> суммарной </w:t>
      </w:r>
      <w:r w:rsidRPr="008B56A7">
        <w:rPr>
          <w:color w:val="000000"/>
          <w:sz w:val="22"/>
        </w:rPr>
        <w:t xml:space="preserve">концентрацией смеси в буфере с </w:t>
      </w:r>
      <w:proofErr w:type="spellStart"/>
      <w:r w:rsidRPr="008B56A7">
        <w:rPr>
          <w:color w:val="000000"/>
          <w:sz w:val="22"/>
        </w:rPr>
        <w:t>pH</w:t>
      </w:r>
      <w:proofErr w:type="spellEnd"/>
      <w:r w:rsidRPr="008B56A7">
        <w:rPr>
          <w:color w:val="000000"/>
          <w:sz w:val="22"/>
        </w:rPr>
        <w:t xml:space="preserve"> 2 – 5×10</w:t>
      </w:r>
      <w:r w:rsidRPr="008B56A7">
        <w:rPr>
          <w:color w:val="000000"/>
          <w:sz w:val="22"/>
          <w:vertAlign w:val="superscript"/>
        </w:rPr>
        <w:t>-3</w:t>
      </w:r>
      <w:r>
        <w:rPr>
          <w:color w:val="000000"/>
          <w:sz w:val="22"/>
        </w:rPr>
        <w:t> </w:t>
      </w:r>
      <w:r w:rsidRPr="008B56A7">
        <w:rPr>
          <w:color w:val="000000"/>
          <w:sz w:val="22"/>
        </w:rPr>
        <w:t xml:space="preserve">моль/л, в буфере с </w:t>
      </w:r>
      <w:proofErr w:type="spellStart"/>
      <w:r w:rsidRPr="008B56A7">
        <w:rPr>
          <w:color w:val="000000"/>
          <w:sz w:val="22"/>
        </w:rPr>
        <w:t>pH</w:t>
      </w:r>
      <w:proofErr w:type="spellEnd"/>
      <w:r w:rsidRPr="008B56A7">
        <w:rPr>
          <w:color w:val="000000"/>
          <w:sz w:val="22"/>
        </w:rPr>
        <w:t xml:space="preserve"> 7.35 – 5×10</w:t>
      </w:r>
      <w:r w:rsidRPr="008B56A7">
        <w:rPr>
          <w:color w:val="000000"/>
          <w:sz w:val="22"/>
          <w:vertAlign w:val="superscript"/>
        </w:rPr>
        <w:t>-5</w:t>
      </w:r>
      <w:r>
        <w:rPr>
          <w:color w:val="000000"/>
          <w:sz w:val="22"/>
        </w:rPr>
        <w:t> </w:t>
      </w:r>
      <w:r w:rsidRPr="008B56A7">
        <w:rPr>
          <w:color w:val="000000"/>
          <w:sz w:val="22"/>
        </w:rPr>
        <w:t xml:space="preserve">моль/л, в буфере с </w:t>
      </w:r>
      <w:proofErr w:type="spellStart"/>
      <w:r w:rsidRPr="008B56A7">
        <w:rPr>
          <w:color w:val="000000"/>
          <w:sz w:val="22"/>
        </w:rPr>
        <w:t>pH</w:t>
      </w:r>
      <w:proofErr w:type="spellEnd"/>
      <w:r w:rsidRPr="008B56A7">
        <w:rPr>
          <w:color w:val="000000"/>
          <w:sz w:val="22"/>
        </w:rPr>
        <w:t xml:space="preserve"> 9 – 3×10</w:t>
      </w:r>
      <w:r w:rsidRPr="008B56A7">
        <w:rPr>
          <w:color w:val="000000"/>
          <w:sz w:val="22"/>
          <w:vertAlign w:val="superscript"/>
        </w:rPr>
        <w:t>-5</w:t>
      </w:r>
      <w:r>
        <w:rPr>
          <w:color w:val="000000"/>
          <w:sz w:val="22"/>
        </w:rPr>
        <w:t> моль/л</w:t>
      </w:r>
    </w:p>
    <w:p w14:paraId="4D13B66B" w14:textId="77777777" w:rsidR="006403D3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B56A7">
        <w:rPr>
          <w:color w:val="000000"/>
        </w:rPr>
        <w:t xml:space="preserve">Методами ЯМР-спектроскопии, разностной </w:t>
      </w:r>
      <w:proofErr w:type="gramStart"/>
      <w:r w:rsidRPr="008B56A7">
        <w:rPr>
          <w:color w:val="000000"/>
        </w:rPr>
        <w:t>УФ-спектроскопии</w:t>
      </w:r>
      <w:proofErr w:type="gramEnd"/>
      <w:r w:rsidRPr="008B56A7">
        <w:rPr>
          <w:color w:val="000000"/>
        </w:rPr>
        <w:t xml:space="preserve"> и теории функционала плотности показано, что механизм синергизма заключается в образовании межмолекулярных водородных комплексов фенол–моносахарид. Комплексы донорного и </w:t>
      </w:r>
      <w:proofErr w:type="gramStart"/>
      <w:r w:rsidRPr="008B56A7">
        <w:rPr>
          <w:color w:val="000000"/>
        </w:rPr>
        <w:t>донорно-акцепторного</w:t>
      </w:r>
      <w:proofErr w:type="gramEnd"/>
      <w:r w:rsidRPr="008B56A7">
        <w:rPr>
          <w:color w:val="000000"/>
        </w:rPr>
        <w:t xml:space="preserve"> типов имеют энергии ионизации ниже, чем у </w:t>
      </w:r>
      <w:proofErr w:type="spellStart"/>
      <w:r w:rsidRPr="008B56A7">
        <w:rPr>
          <w:color w:val="000000"/>
        </w:rPr>
        <w:t>протокатеховой</w:t>
      </w:r>
      <w:proofErr w:type="spellEnd"/>
      <w:r w:rsidRPr="008B56A7">
        <w:rPr>
          <w:color w:val="000000"/>
        </w:rPr>
        <w:t xml:space="preserve"> кислоты и, соответственно, активнее взаимодействуют с радикалом по сравнению с исходным антиоксидантом.</w:t>
      </w:r>
    </w:p>
    <w:p w14:paraId="084A086E" w14:textId="77777777" w:rsidR="006403D3" w:rsidRPr="00734201" w:rsidRDefault="006403D3" w:rsidP="006403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="Calibri"/>
          <w:szCs w:val="28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Calibri" w:hAnsi="Cambria Math"/>
              <w:szCs w:val="28"/>
            </w:rPr>
            <m:t>ArОН</m:t>
          </m:r>
          <m:r>
            <m:rPr>
              <m:sty m:val="p"/>
            </m:rPr>
            <w:rPr>
              <w:rFonts w:ascii="Cambria Math" w:hAnsi="Cambria Math"/>
              <w:szCs w:val="28"/>
            </w:rPr>
            <m:t>∙∙∙</m:t>
          </m:r>
          <m:r>
            <m:rPr>
              <m:sty m:val="p"/>
            </m:rPr>
            <w:rPr>
              <w:rFonts w:ascii="Cambria Math" w:eastAsia="Calibri" w:hAnsi="Cambria Math"/>
              <w:szCs w:val="28"/>
            </w:rPr>
            <m:t xml:space="preserve">Sacch +  </m:t>
          </m:r>
          <m:sSup>
            <m:sSupPr>
              <m:ctrlPr>
                <w:rPr>
                  <w:rFonts w:ascii="Cambria Math" w:eastAsia="Calibri" w:hAnsi="Cambria Math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libri" w:hAnsi="Cambria Math"/>
                  <w:szCs w:val="28"/>
                </w:rPr>
                <m:t>DPPH</m:t>
              </m:r>
            </m:e>
            <m:sup>
              <m:r>
                <m:rPr>
                  <m:sty m:val="p"/>
                </m:rPr>
                <w:rPr>
                  <w:rFonts w:ascii="Cambria Math" w:eastAsia="Calibri" w:hAnsi="Cambria Math"/>
                  <w:szCs w:val="28"/>
                  <w:vertAlign w:val="superscript"/>
                </w:rPr>
                <m:t>•</m:t>
              </m:r>
            </m:sup>
          </m:sSup>
          <m:r>
            <m:rPr>
              <m:sty m:val="p"/>
            </m:rPr>
            <w:rPr>
              <w:rFonts w:ascii="Cambria Math" w:eastAsia="Calibri" w:hAnsi="Cambria Math"/>
              <w:szCs w:val="28"/>
            </w:rPr>
            <m:t>→</m:t>
          </m:r>
          <m:sSup>
            <m:sSupPr>
              <m:ctrlPr>
                <w:rPr>
                  <w:rFonts w:ascii="Cambria Math" w:eastAsia="Calibri" w:hAnsi="Cambria Math"/>
                  <w:szCs w:val="28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eastAsia="Calibri" w:hAnsi="Cambria Math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8"/>
                    </w:rPr>
                    <m:t>ArОН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∙∙∙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8"/>
                    </w:rPr>
                    <m:t>Sacch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Calibri" w:hAnsi="Cambria Math"/>
                  <w:szCs w:val="28"/>
                </w:rPr>
                <m:t>•+</m:t>
              </m:r>
            </m:sup>
          </m:sSup>
          <m:r>
            <m:rPr>
              <m:sty m:val="p"/>
            </m:rPr>
            <w:rPr>
              <w:rFonts w:ascii="Cambria Math" w:eastAsia="Calibri" w:hAnsi="Cambria Math"/>
              <w:szCs w:val="28"/>
            </w:rPr>
            <m:t xml:space="preserve"> +  </m:t>
          </m:r>
          <m:sSup>
            <m:sSupPr>
              <m:ctrlPr>
                <w:rPr>
                  <w:rFonts w:ascii="Cambria Math" w:eastAsia="Calibri" w:hAnsi="Cambria Math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libri" w:hAnsi="Cambria Math"/>
                  <w:szCs w:val="28"/>
                </w:rPr>
                <m:t>DPPH</m:t>
              </m:r>
            </m:e>
            <m:sup>
              <m:r>
                <m:rPr>
                  <m:sty m:val="p"/>
                </m:rPr>
                <w:rPr>
                  <w:rFonts w:ascii="Cambria Math" w:eastAsia="Calibri" w:hAnsi="Cambria Math"/>
                  <w:szCs w:val="28"/>
                </w:rPr>
                <m:t>–</m:t>
              </m:r>
            </m:sup>
          </m:sSup>
        </m:oMath>
      </m:oMathPara>
    </w:p>
    <w:p w14:paraId="01CFD22F" w14:textId="1B322A79" w:rsidR="005249D3" w:rsidRPr="006403D3" w:rsidRDefault="006403D3" w:rsidP="007601EA">
      <w:pPr>
        <w:ind w:firstLine="397"/>
        <w:jc w:val="both"/>
      </w:pPr>
      <w:bookmarkStart w:id="0" w:name="_GoBack"/>
      <w:bookmarkEnd w:id="0"/>
      <w:r w:rsidRPr="00750653">
        <w:rPr>
          <w:color w:val="000000"/>
        </w:rPr>
        <w:t>Менее реакционноспособны акцепторные ион-молекулярные комплексы с энергиями ионизации выше, чем у реагентов. Синергизм, установленный в фенольно-</w:t>
      </w:r>
      <w:proofErr w:type="spellStart"/>
      <w:r w:rsidRPr="00750653">
        <w:rPr>
          <w:color w:val="000000"/>
        </w:rPr>
        <w:t>сахаридных</w:t>
      </w:r>
      <w:proofErr w:type="spellEnd"/>
      <w:r w:rsidRPr="00750653">
        <w:rPr>
          <w:color w:val="000000"/>
        </w:rPr>
        <w:t xml:space="preserve"> смесях, вызывает особый интерес, так как подразумевает достижение многоцелевого терапевтического эффекта при использовании меньшего количества компонентов смеси, а также снижение числа побочных реакций.</w:t>
      </w:r>
    </w:p>
    <w:sectPr w:rsidR="005249D3" w:rsidRPr="006403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1F74A2"/>
    <w:rsid w:val="002264EE"/>
    <w:rsid w:val="0023307C"/>
    <w:rsid w:val="00244216"/>
    <w:rsid w:val="00271283"/>
    <w:rsid w:val="0031361E"/>
    <w:rsid w:val="00391C38"/>
    <w:rsid w:val="003B76D6"/>
    <w:rsid w:val="00497358"/>
    <w:rsid w:val="004A26A3"/>
    <w:rsid w:val="004F0EDF"/>
    <w:rsid w:val="00522BF1"/>
    <w:rsid w:val="005249D3"/>
    <w:rsid w:val="00590166"/>
    <w:rsid w:val="005D022B"/>
    <w:rsid w:val="005E5BE9"/>
    <w:rsid w:val="006403D3"/>
    <w:rsid w:val="0069427D"/>
    <w:rsid w:val="00694BFC"/>
    <w:rsid w:val="006A5CDC"/>
    <w:rsid w:val="006C371F"/>
    <w:rsid w:val="006F7A19"/>
    <w:rsid w:val="007174D8"/>
    <w:rsid w:val="007213E1"/>
    <w:rsid w:val="00732835"/>
    <w:rsid w:val="00734201"/>
    <w:rsid w:val="00750653"/>
    <w:rsid w:val="007601EA"/>
    <w:rsid w:val="00775389"/>
    <w:rsid w:val="00797838"/>
    <w:rsid w:val="007C36D8"/>
    <w:rsid w:val="007D589C"/>
    <w:rsid w:val="007F2744"/>
    <w:rsid w:val="008931BE"/>
    <w:rsid w:val="008B56A7"/>
    <w:rsid w:val="008C67E3"/>
    <w:rsid w:val="00921D45"/>
    <w:rsid w:val="0094059B"/>
    <w:rsid w:val="009A66DB"/>
    <w:rsid w:val="009B2F80"/>
    <w:rsid w:val="009B3300"/>
    <w:rsid w:val="009F3380"/>
    <w:rsid w:val="00A02163"/>
    <w:rsid w:val="00A314FE"/>
    <w:rsid w:val="00A44DEA"/>
    <w:rsid w:val="00AC3E9E"/>
    <w:rsid w:val="00BF36F8"/>
    <w:rsid w:val="00BF4622"/>
    <w:rsid w:val="00C06217"/>
    <w:rsid w:val="00CD00B1"/>
    <w:rsid w:val="00D22306"/>
    <w:rsid w:val="00D42542"/>
    <w:rsid w:val="00D463F2"/>
    <w:rsid w:val="00D8121C"/>
    <w:rsid w:val="00E22189"/>
    <w:rsid w:val="00E63455"/>
    <w:rsid w:val="00E74069"/>
    <w:rsid w:val="00E743F1"/>
    <w:rsid w:val="00EB1F49"/>
    <w:rsid w:val="00EF3F43"/>
    <w:rsid w:val="00F865B3"/>
    <w:rsid w:val="00FB1509"/>
    <w:rsid w:val="00FF1903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463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63F2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497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463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63F2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497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bkaty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7D2B17-24C1-49E6-8B93-CE341F07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Maria</cp:lastModifiedBy>
  <cp:revision>14</cp:revision>
  <dcterms:created xsi:type="dcterms:W3CDTF">2024-01-22T06:00:00Z</dcterms:created>
  <dcterms:modified xsi:type="dcterms:W3CDTF">2024-04-19T12:00:00Z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