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3FD" w:rsidRPr="00EF63FD" w:rsidRDefault="00EF63FD" w:rsidP="00EF63FD">
      <w:pPr>
        <w:spacing w:line="240" w:lineRule="auto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bookmarkStart w:id="0" w:name="_Hlk117643945"/>
      <w:r w:rsidRPr="00EF63FD">
        <w:rPr>
          <w:rFonts w:eastAsia="Times New Roman"/>
          <w:b/>
          <w:sz w:val="24"/>
          <w:szCs w:val="24"/>
          <w:lang w:eastAsia="ru-RU"/>
        </w:rPr>
        <w:t>Константа скорости реакции 3-амино-1-фенил-2-пиразолин-5-</w:t>
      </w:r>
      <w:r w:rsidRPr="00EF63FD">
        <w:rPr>
          <w:rFonts w:eastAsia="Times New Roman"/>
          <w:b/>
          <w:sz w:val="24"/>
          <w:szCs w:val="24"/>
          <w:lang w:val="en-US" w:eastAsia="ru-RU"/>
        </w:rPr>
        <w:t>o</w:t>
      </w:r>
      <w:r w:rsidRPr="00EF63FD">
        <w:rPr>
          <w:rFonts w:eastAsia="Times New Roman"/>
          <w:b/>
          <w:sz w:val="24"/>
          <w:szCs w:val="24"/>
          <w:lang w:eastAsia="ru-RU"/>
        </w:rPr>
        <w:t xml:space="preserve">на с </w:t>
      </w:r>
      <w:proofErr w:type="spellStart"/>
      <w:r w:rsidRPr="00EF63FD">
        <w:rPr>
          <w:rFonts w:eastAsia="Times New Roman"/>
          <w:b/>
          <w:sz w:val="24"/>
          <w:szCs w:val="24"/>
          <w:lang w:eastAsia="ru-RU"/>
        </w:rPr>
        <w:t>пероксильными</w:t>
      </w:r>
      <w:proofErr w:type="spellEnd"/>
      <w:r w:rsidRPr="00EF63FD">
        <w:rPr>
          <w:rFonts w:eastAsia="Times New Roman"/>
          <w:b/>
          <w:sz w:val="24"/>
          <w:szCs w:val="24"/>
          <w:lang w:eastAsia="ru-RU"/>
        </w:rPr>
        <w:t xml:space="preserve"> радикалами 1,4-диоксана</w:t>
      </w:r>
    </w:p>
    <w:bookmarkEnd w:id="0"/>
    <w:p w:rsidR="00EF63FD" w:rsidRPr="00EF63FD" w:rsidRDefault="00EF63FD" w:rsidP="00EF63FD">
      <w:pPr>
        <w:spacing w:line="240" w:lineRule="auto"/>
        <w:ind w:firstLine="0"/>
        <w:jc w:val="center"/>
        <w:rPr>
          <w:rFonts w:eastAsia="Times New Roman"/>
          <w:i/>
          <w:sz w:val="24"/>
          <w:szCs w:val="24"/>
          <w:vertAlign w:val="superscript"/>
          <w:lang w:eastAsia="ru-RU"/>
        </w:rPr>
      </w:pPr>
      <w:proofErr w:type="spellStart"/>
      <w:r w:rsidRPr="00EF63FD">
        <w:rPr>
          <w:rFonts w:eastAsia="Times New Roman"/>
          <w:b/>
          <w:i/>
          <w:sz w:val="24"/>
          <w:szCs w:val="24"/>
          <w:lang w:eastAsia="ru-RU"/>
        </w:rPr>
        <w:t>Мигранов</w:t>
      </w:r>
      <w:proofErr w:type="spellEnd"/>
      <w:r w:rsidRPr="00EF63FD">
        <w:rPr>
          <w:rFonts w:eastAsia="Times New Roman"/>
          <w:b/>
          <w:i/>
          <w:sz w:val="24"/>
          <w:szCs w:val="24"/>
          <w:lang w:eastAsia="ru-RU"/>
        </w:rPr>
        <w:t xml:space="preserve"> А.Р., </w:t>
      </w:r>
      <w:r w:rsidRPr="00EF63FD">
        <w:rPr>
          <w:rFonts w:eastAsia="Times New Roman"/>
          <w:i/>
          <w:sz w:val="24"/>
          <w:szCs w:val="24"/>
          <w:vertAlign w:val="superscript"/>
          <w:lang w:eastAsia="ru-RU"/>
        </w:rPr>
        <w:t xml:space="preserve"> </w:t>
      </w:r>
      <w:proofErr w:type="spellStart"/>
      <w:r w:rsidRPr="00EF63FD">
        <w:rPr>
          <w:rFonts w:eastAsia="Times New Roman"/>
          <w:b/>
          <w:i/>
          <w:sz w:val="24"/>
          <w:szCs w:val="24"/>
          <w:lang w:eastAsia="ru-RU"/>
        </w:rPr>
        <w:t>Якупова</w:t>
      </w:r>
      <w:proofErr w:type="spellEnd"/>
      <w:r w:rsidRPr="00EF63FD">
        <w:rPr>
          <w:rFonts w:eastAsia="Times New Roman"/>
          <w:b/>
          <w:i/>
          <w:sz w:val="24"/>
          <w:szCs w:val="24"/>
          <w:lang w:eastAsia="ru-RU"/>
        </w:rPr>
        <w:t xml:space="preserve"> Л.Р.,</w:t>
      </w:r>
      <w:r w:rsidRPr="00EF63FD">
        <w:rPr>
          <w:rFonts w:eastAsia="Times New Roman"/>
          <w:i/>
          <w:sz w:val="24"/>
          <w:szCs w:val="24"/>
          <w:vertAlign w:val="superscript"/>
          <w:lang w:eastAsia="ru-RU"/>
        </w:rPr>
        <w:t xml:space="preserve">  </w:t>
      </w:r>
      <w:r w:rsidRPr="00EF63FD">
        <w:rPr>
          <w:rFonts w:eastAsia="Times New Roman"/>
          <w:b/>
          <w:i/>
          <w:sz w:val="24"/>
          <w:szCs w:val="24"/>
          <w:lang w:eastAsia="ru-RU"/>
        </w:rPr>
        <w:t>Грабовский С.А.,</w:t>
      </w:r>
      <w:r w:rsidRPr="00EF63FD">
        <w:rPr>
          <w:rFonts w:eastAsia="Times New Roman"/>
          <w:i/>
          <w:sz w:val="24"/>
          <w:szCs w:val="24"/>
          <w:lang w:eastAsia="ru-RU"/>
        </w:rPr>
        <w:t xml:space="preserve"> </w:t>
      </w:r>
      <w:r w:rsidRPr="00EF63FD">
        <w:rPr>
          <w:rFonts w:eastAsia="Times New Roman"/>
          <w:i/>
          <w:sz w:val="24"/>
          <w:szCs w:val="24"/>
          <w:vertAlign w:val="superscript"/>
          <w:lang w:eastAsia="ru-RU"/>
        </w:rPr>
        <w:t xml:space="preserve"> </w:t>
      </w:r>
      <w:r w:rsidRPr="00EF63FD">
        <w:rPr>
          <w:rFonts w:eastAsia="Times New Roman"/>
          <w:b/>
          <w:i/>
          <w:sz w:val="24"/>
          <w:szCs w:val="24"/>
          <w:lang w:eastAsia="ru-RU"/>
        </w:rPr>
        <w:t>Сафиуллин Р.Л.</w:t>
      </w:r>
    </w:p>
    <w:p w:rsidR="00EF63FD" w:rsidRPr="00EF63FD" w:rsidRDefault="00EF63FD" w:rsidP="00EF63FD">
      <w:pPr>
        <w:spacing w:line="240" w:lineRule="auto"/>
        <w:ind w:firstLine="0"/>
        <w:jc w:val="center"/>
        <w:rPr>
          <w:rFonts w:eastAsia="Times New Roman"/>
          <w:i/>
          <w:sz w:val="24"/>
          <w:szCs w:val="24"/>
          <w:lang w:eastAsia="ru-RU"/>
        </w:rPr>
      </w:pPr>
      <w:r w:rsidRPr="00EF63FD">
        <w:rPr>
          <w:rFonts w:eastAsia="Times New Roman"/>
          <w:i/>
          <w:sz w:val="24"/>
          <w:szCs w:val="24"/>
          <w:lang w:eastAsia="ru-RU"/>
        </w:rPr>
        <w:t>Аспирант, 1 год обучения</w:t>
      </w:r>
    </w:p>
    <w:p w:rsidR="00EF63FD" w:rsidRPr="00EF63FD" w:rsidRDefault="00EF63FD" w:rsidP="00EF63FD">
      <w:pPr>
        <w:spacing w:line="240" w:lineRule="auto"/>
        <w:ind w:firstLine="0"/>
        <w:jc w:val="center"/>
        <w:rPr>
          <w:rFonts w:eastAsia="Times New Roman"/>
          <w:i/>
          <w:sz w:val="24"/>
          <w:szCs w:val="24"/>
          <w:vertAlign w:val="superscript"/>
          <w:lang w:eastAsia="ru-RU"/>
        </w:rPr>
      </w:pPr>
      <w:proofErr w:type="spellStart"/>
      <w:r w:rsidRPr="00EF63FD">
        <w:rPr>
          <w:rFonts w:eastAsia="Times New Roman"/>
          <w:i/>
          <w:sz w:val="24"/>
          <w:szCs w:val="24"/>
          <w:lang w:eastAsia="ru-RU"/>
        </w:rPr>
        <w:t>УфИХ</w:t>
      </w:r>
      <w:proofErr w:type="spellEnd"/>
      <w:r w:rsidRPr="00EF63FD">
        <w:rPr>
          <w:rFonts w:eastAsia="Times New Roman"/>
          <w:i/>
          <w:sz w:val="24"/>
          <w:szCs w:val="24"/>
          <w:lang w:eastAsia="ru-RU"/>
        </w:rPr>
        <w:t xml:space="preserve"> УФИЦ РАН, Уфа, Россия</w:t>
      </w:r>
    </w:p>
    <w:p w:rsidR="00EF63FD" w:rsidRPr="00EF63FD" w:rsidRDefault="00EF63FD" w:rsidP="00EF63FD">
      <w:pPr>
        <w:spacing w:line="240" w:lineRule="auto"/>
        <w:ind w:firstLine="0"/>
        <w:jc w:val="center"/>
        <w:rPr>
          <w:rFonts w:eastAsia="Times New Roman"/>
          <w:i/>
          <w:sz w:val="24"/>
          <w:szCs w:val="24"/>
          <w:u w:val="single"/>
          <w:lang w:eastAsia="ru-RU"/>
        </w:rPr>
      </w:pPr>
      <w:r w:rsidRPr="00EF63FD">
        <w:rPr>
          <w:rFonts w:eastAsia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E-</w:t>
      </w:r>
      <w:proofErr w:type="spellStart"/>
      <w:r w:rsidRPr="00EF63FD">
        <w:rPr>
          <w:rFonts w:eastAsia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mail</w:t>
      </w:r>
      <w:proofErr w:type="spellEnd"/>
      <w:r w:rsidRPr="00EF63FD">
        <w:rPr>
          <w:rFonts w:ascii="YS Text" w:eastAsia="Times New Roman" w:hAnsi="YS Text"/>
          <w:sz w:val="23"/>
          <w:szCs w:val="23"/>
          <w:shd w:val="clear" w:color="auto" w:fill="FFFFFF"/>
          <w:lang w:eastAsia="ru-RU"/>
        </w:rPr>
        <w:t xml:space="preserve">: </w:t>
      </w:r>
      <w:hyperlink r:id="rId6" w:history="1">
        <w:r w:rsidRPr="00EF63FD">
          <w:rPr>
            <w:rFonts w:eastAsia="Times New Roman"/>
            <w:i/>
            <w:sz w:val="24"/>
            <w:szCs w:val="24"/>
            <w:u w:val="single"/>
            <w:lang w:val="en-US" w:eastAsia="ru-RU"/>
          </w:rPr>
          <w:t>almazmigranov</w:t>
        </w:r>
        <w:r w:rsidRPr="00EF63FD">
          <w:rPr>
            <w:rFonts w:eastAsia="Times New Roman"/>
            <w:i/>
            <w:sz w:val="24"/>
            <w:szCs w:val="24"/>
            <w:u w:val="single"/>
            <w:lang w:eastAsia="ru-RU"/>
          </w:rPr>
          <w:t>@</w:t>
        </w:r>
        <w:r w:rsidRPr="00EF63FD">
          <w:rPr>
            <w:rFonts w:eastAsia="Times New Roman"/>
            <w:i/>
            <w:sz w:val="24"/>
            <w:szCs w:val="24"/>
            <w:u w:val="single"/>
            <w:lang w:val="en-US" w:eastAsia="ru-RU"/>
          </w:rPr>
          <w:t>yandex</w:t>
        </w:r>
        <w:r w:rsidRPr="00EF63FD">
          <w:rPr>
            <w:rFonts w:eastAsia="Times New Roman"/>
            <w:i/>
            <w:sz w:val="24"/>
            <w:szCs w:val="24"/>
            <w:u w:val="single"/>
            <w:lang w:eastAsia="ru-RU"/>
          </w:rPr>
          <w:t>.</w:t>
        </w:r>
        <w:proofErr w:type="spellStart"/>
        <w:r w:rsidRPr="00EF63FD">
          <w:rPr>
            <w:rFonts w:eastAsia="Times New Roman"/>
            <w:i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EF63FD" w:rsidRPr="00EF63FD" w:rsidRDefault="00EF63FD" w:rsidP="00F16A30">
      <w:pPr>
        <w:spacing w:line="240" w:lineRule="auto"/>
        <w:ind w:firstLine="397"/>
        <w:rPr>
          <w:rFonts w:eastAsia="Times New Roman"/>
          <w:sz w:val="24"/>
          <w:szCs w:val="24"/>
          <w:lang w:eastAsia="ru-RU"/>
        </w:rPr>
      </w:pPr>
      <w:r w:rsidRPr="00EF63FD">
        <w:rPr>
          <w:rFonts w:eastAsia="Times New Roman"/>
          <w:sz w:val="24"/>
          <w:szCs w:val="24"/>
          <w:lang w:eastAsia="ru-RU"/>
        </w:rPr>
        <w:t>Рассмотрено влияние 3-амино-1-фенил-2-пиразолин-5-она (</w:t>
      </w:r>
      <w:r w:rsidRPr="00EF63FD">
        <w:rPr>
          <w:rFonts w:eastAsia="Times New Roman"/>
          <w:b/>
          <w:sz w:val="22"/>
          <w:szCs w:val="24"/>
          <w:lang w:eastAsia="ru-RU"/>
        </w:rPr>
        <w:t>1а</w:t>
      </w:r>
      <w:r w:rsidRPr="00EF63FD">
        <w:rPr>
          <w:rFonts w:eastAsia="Times New Roman"/>
          <w:sz w:val="24"/>
          <w:szCs w:val="24"/>
          <w:lang w:eastAsia="ru-RU"/>
        </w:rPr>
        <w:t>) (схема 1) на радикально-цепное окисление 1,4-диоксана. За кинетикой реакции следили по скорости поглощения кислорода манометрическим методом с помощью дифференциальной установки. Окисление инициировали 2,2'-азо-</w:t>
      </w:r>
      <w:r w:rsidRPr="00EF63FD">
        <w:rPr>
          <w:rFonts w:eastAsia="Times New Roman"/>
          <w:i/>
          <w:sz w:val="24"/>
          <w:szCs w:val="24"/>
          <w:lang w:eastAsia="ru-RU"/>
        </w:rPr>
        <w:t>бис</w:t>
      </w:r>
      <w:r w:rsidRPr="00EF63FD">
        <w:rPr>
          <w:rFonts w:eastAsia="Times New Roman"/>
          <w:sz w:val="24"/>
          <w:szCs w:val="24"/>
          <w:lang w:eastAsia="ru-RU"/>
        </w:rPr>
        <w:t>-изобутиронитрилом при температуре 333</w:t>
      </w:r>
      <w:r w:rsidR="003D317E">
        <w:rPr>
          <w:rFonts w:eastAsia="Times New Roman"/>
          <w:sz w:val="24"/>
          <w:szCs w:val="24"/>
          <w:lang w:eastAsia="ru-RU"/>
        </w:rPr>
        <w:t> </w:t>
      </w:r>
      <w:r w:rsidRPr="00EF63FD">
        <w:rPr>
          <w:rFonts w:eastAsia="Times New Roman"/>
          <w:sz w:val="24"/>
          <w:szCs w:val="24"/>
          <w:lang w:eastAsia="ru-RU"/>
        </w:rPr>
        <w:t xml:space="preserve">К. </w:t>
      </w:r>
    </w:p>
    <w:p w:rsidR="00EF63FD" w:rsidRPr="00EF63FD" w:rsidRDefault="00C235D2" w:rsidP="00EF63FD">
      <w:pPr>
        <w:spacing w:line="240" w:lineRule="auto"/>
        <w:ind w:firstLine="397"/>
        <w:jc w:val="center"/>
        <w:rPr>
          <w:rFonts w:eastAsia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49" type="#_x0000_t75" style="position:absolute;left:0;text-align:left;margin-left:182.55pt;margin-top:.05pt;width:113.15pt;height:87.9pt;z-index:3;visibility:visible;mso-wrap-style:square;mso-position-horizontal:absolute;mso-position-horizontal-relative:text;mso-position-vertical:absolute;mso-position-vertical-relative:text;mso-width-relative:page;mso-height-relative:page">
            <v:imagedata r:id="rId7" o:title=""/>
            <w10:wrap type="topAndBottom"/>
          </v:shape>
        </w:pict>
      </w:r>
      <w:r w:rsidR="00EF63FD" w:rsidRPr="00EF63FD">
        <w:rPr>
          <w:rFonts w:eastAsia="Times New Roman"/>
          <w:sz w:val="24"/>
          <w:szCs w:val="24"/>
        </w:rPr>
        <w:t>Схема 1. 3-амино-1-фенил-2-пиразолин-5-она (</w:t>
      </w:r>
      <w:r w:rsidR="00EF63FD" w:rsidRPr="00EF63FD">
        <w:rPr>
          <w:rFonts w:eastAsia="Times New Roman"/>
          <w:b/>
          <w:sz w:val="24"/>
          <w:szCs w:val="24"/>
        </w:rPr>
        <w:t>1а</w:t>
      </w:r>
      <w:r w:rsidR="00EF63FD" w:rsidRPr="00EF63FD">
        <w:rPr>
          <w:rFonts w:eastAsia="Times New Roman"/>
          <w:sz w:val="24"/>
          <w:szCs w:val="24"/>
        </w:rPr>
        <w:t>)</w:t>
      </w:r>
    </w:p>
    <w:p w:rsidR="00EF63FD" w:rsidRPr="00EF63FD" w:rsidRDefault="00EF63FD" w:rsidP="00EF63FD">
      <w:pPr>
        <w:spacing w:line="240" w:lineRule="auto"/>
        <w:ind w:firstLine="397"/>
        <w:rPr>
          <w:rFonts w:eastAsia="Times New Roman"/>
          <w:sz w:val="24"/>
          <w:szCs w:val="20"/>
        </w:rPr>
      </w:pPr>
      <w:r w:rsidRPr="00EF63FD">
        <w:rPr>
          <w:rFonts w:eastAsia="Times New Roman"/>
          <w:sz w:val="24"/>
          <w:szCs w:val="24"/>
        </w:rPr>
        <w:t>Установлено, что скорость окисления 1,4-диоксана (</w:t>
      </w:r>
      <w:r w:rsidRPr="00EF63FD">
        <w:rPr>
          <w:rFonts w:eastAsia="Times New Roman"/>
          <w:i/>
          <w:sz w:val="24"/>
          <w:szCs w:val="24"/>
          <w:lang w:val="en-US"/>
        </w:rPr>
        <w:t>w</w:t>
      </w:r>
      <w:r w:rsidRPr="00EF63FD">
        <w:rPr>
          <w:rFonts w:eastAsia="Times New Roman"/>
          <w:sz w:val="24"/>
          <w:szCs w:val="24"/>
        </w:rPr>
        <w:t xml:space="preserve">) в присутствии соединения </w:t>
      </w:r>
      <w:r w:rsidRPr="00EF63FD">
        <w:rPr>
          <w:rFonts w:eastAsia="Times New Roman"/>
          <w:b/>
          <w:sz w:val="24"/>
          <w:szCs w:val="24"/>
        </w:rPr>
        <w:t>1а</w:t>
      </w:r>
      <w:r w:rsidRPr="00EF63FD">
        <w:rPr>
          <w:rFonts w:eastAsia="Times New Roman"/>
          <w:sz w:val="24"/>
          <w:szCs w:val="24"/>
        </w:rPr>
        <w:t xml:space="preserve"> снижается. Найдена зависимость </w:t>
      </w:r>
      <w:r w:rsidRPr="00EF63FD">
        <w:rPr>
          <w:rFonts w:eastAsia="Times New Roman"/>
          <w:i/>
          <w:sz w:val="24"/>
          <w:szCs w:val="24"/>
          <w:lang w:val="en-US"/>
        </w:rPr>
        <w:t>w</w:t>
      </w:r>
      <w:r w:rsidRPr="00EF63FD">
        <w:rPr>
          <w:rFonts w:eastAsia="Times New Roman"/>
          <w:sz w:val="24"/>
          <w:szCs w:val="24"/>
        </w:rPr>
        <w:t xml:space="preserve"> от концентрации </w:t>
      </w:r>
      <w:r w:rsidRPr="00EF63FD">
        <w:rPr>
          <w:rFonts w:eastAsia="Times New Roman"/>
          <w:b/>
          <w:sz w:val="24"/>
          <w:szCs w:val="24"/>
        </w:rPr>
        <w:t>1а</w:t>
      </w:r>
      <w:r w:rsidRPr="00EF63FD">
        <w:rPr>
          <w:rFonts w:eastAsia="Times New Roman"/>
          <w:sz w:val="24"/>
          <w:szCs w:val="24"/>
        </w:rPr>
        <w:t xml:space="preserve"> (рисунок </w:t>
      </w:r>
      <w:r w:rsidRPr="00EF63FD">
        <w:rPr>
          <w:rFonts w:eastAsia="Times New Roman"/>
          <w:b/>
          <w:i/>
          <w:sz w:val="24"/>
          <w:szCs w:val="24"/>
          <w:lang w:val="en-US"/>
        </w:rPr>
        <w:t>a</w:t>
      </w:r>
      <w:r w:rsidRPr="00EF63FD">
        <w:rPr>
          <w:rFonts w:eastAsia="Times New Roman"/>
          <w:sz w:val="24"/>
          <w:szCs w:val="24"/>
        </w:rPr>
        <w:t>). Для расчета эффективной константы скорости (</w:t>
      </w:r>
      <w:proofErr w:type="spellStart"/>
      <w:r w:rsidRPr="00EF63FD">
        <w:rPr>
          <w:rFonts w:eastAsia="Times New Roman"/>
          <w:i/>
          <w:sz w:val="24"/>
          <w:szCs w:val="24"/>
          <w:lang w:val="en-US"/>
        </w:rPr>
        <w:t>fk</w:t>
      </w:r>
      <w:proofErr w:type="spellEnd"/>
      <w:r w:rsidRPr="00EF63FD">
        <w:rPr>
          <w:rFonts w:eastAsia="Times New Roman"/>
          <w:sz w:val="24"/>
          <w:szCs w:val="24"/>
          <w:vertAlign w:val="subscript"/>
        </w:rPr>
        <w:t>7</w:t>
      </w:r>
      <w:r w:rsidRPr="00EF63FD">
        <w:rPr>
          <w:rFonts w:eastAsia="Times New Roman"/>
          <w:sz w:val="24"/>
          <w:szCs w:val="24"/>
        </w:rPr>
        <w:t xml:space="preserve">) реакции </w:t>
      </w:r>
      <w:proofErr w:type="spellStart"/>
      <w:r w:rsidRPr="00EF63FD">
        <w:rPr>
          <w:rFonts w:eastAsia="Times New Roman"/>
          <w:sz w:val="24"/>
          <w:szCs w:val="24"/>
        </w:rPr>
        <w:t>пероксильного</w:t>
      </w:r>
      <w:proofErr w:type="spellEnd"/>
      <w:r w:rsidRPr="00EF63FD">
        <w:rPr>
          <w:rFonts w:eastAsia="Times New Roman"/>
          <w:sz w:val="24"/>
          <w:szCs w:val="24"/>
        </w:rPr>
        <w:t xml:space="preserve"> радикала 1,4-диоксана с </w:t>
      </w:r>
      <w:r w:rsidRPr="00EF63FD">
        <w:rPr>
          <w:rFonts w:eastAsia="Times New Roman"/>
          <w:b/>
          <w:sz w:val="24"/>
          <w:szCs w:val="24"/>
        </w:rPr>
        <w:t>1а</w:t>
      </w:r>
      <w:r w:rsidRPr="00EF63FD">
        <w:rPr>
          <w:rFonts w:eastAsia="Times New Roman"/>
          <w:sz w:val="24"/>
          <w:szCs w:val="24"/>
        </w:rPr>
        <w:t xml:space="preserve"> зависимость была преобразована в координатах нижеприведенного уравнения (рисунок </w:t>
      </w:r>
      <w:r w:rsidRPr="00EF63FD">
        <w:rPr>
          <w:rFonts w:eastAsia="Times New Roman"/>
          <w:b/>
          <w:i/>
          <w:sz w:val="24"/>
          <w:szCs w:val="20"/>
          <w:lang w:val="en-US"/>
        </w:rPr>
        <w:t>b</w:t>
      </w:r>
      <w:r w:rsidRPr="00EF63FD">
        <w:rPr>
          <w:rFonts w:eastAsia="Times New Roman"/>
          <w:sz w:val="24"/>
          <w:szCs w:val="24"/>
        </w:rPr>
        <w:t>):</w:t>
      </w:r>
    </w:p>
    <w:p w:rsidR="00EF63FD" w:rsidRPr="00EF63FD" w:rsidRDefault="00EF63FD" w:rsidP="00EF63FD">
      <w:pPr>
        <w:spacing w:line="240" w:lineRule="auto"/>
        <w:ind w:firstLine="397"/>
        <w:rPr>
          <w:rFonts w:eastAsia="Times New Roman"/>
          <w:sz w:val="24"/>
          <w:szCs w:val="24"/>
          <w:lang w:val="en-US"/>
        </w:rPr>
      </w:pPr>
      <w:r w:rsidRPr="00EF63FD">
        <w:rPr>
          <w:rFonts w:eastAsia="Times New Roman"/>
          <w:sz w:val="24"/>
          <w:szCs w:val="24"/>
          <w:lang w:val="en-US"/>
        </w:rPr>
        <w:t xml:space="preserve">F = </w:t>
      </w:r>
      <w:r w:rsidRPr="00EF63FD">
        <w:rPr>
          <w:rFonts w:eastAsia="Times New Roman"/>
          <w:i/>
          <w:sz w:val="24"/>
          <w:szCs w:val="24"/>
          <w:lang w:val="en-US"/>
        </w:rPr>
        <w:t>w</w:t>
      </w:r>
      <w:r w:rsidRPr="00EF63FD">
        <w:rPr>
          <w:rFonts w:eastAsia="Times New Roman"/>
          <w:sz w:val="24"/>
          <w:szCs w:val="24"/>
          <w:vertAlign w:val="subscript"/>
          <w:lang w:val="en-US"/>
        </w:rPr>
        <w:t>0</w:t>
      </w:r>
      <w:r w:rsidRPr="00EF63FD">
        <w:rPr>
          <w:rFonts w:eastAsia="Times New Roman"/>
          <w:sz w:val="24"/>
          <w:szCs w:val="24"/>
          <w:lang w:val="en-US"/>
        </w:rPr>
        <w:t>·</w:t>
      </w:r>
      <w:r w:rsidRPr="00EF63FD">
        <w:rPr>
          <w:rFonts w:eastAsia="Times New Roman"/>
          <w:i/>
          <w:sz w:val="24"/>
          <w:szCs w:val="24"/>
          <w:lang w:val="en-US"/>
        </w:rPr>
        <w:t>w</w:t>
      </w:r>
      <w:r w:rsidRPr="00EF63FD">
        <w:rPr>
          <w:rFonts w:eastAsia="Times New Roman"/>
          <w:sz w:val="24"/>
          <w:szCs w:val="24"/>
          <w:vertAlign w:val="superscript"/>
          <w:lang w:val="en-US"/>
        </w:rPr>
        <w:t>-1</w:t>
      </w:r>
      <w:r w:rsidRPr="00EF63FD">
        <w:rPr>
          <w:rFonts w:eastAsia="Times New Roman"/>
          <w:sz w:val="24"/>
          <w:szCs w:val="24"/>
          <w:lang w:val="en-US"/>
        </w:rPr>
        <w:t xml:space="preserve"> – </w:t>
      </w:r>
      <w:r w:rsidRPr="00EF63FD">
        <w:rPr>
          <w:rFonts w:eastAsia="Times New Roman"/>
          <w:i/>
          <w:sz w:val="24"/>
          <w:szCs w:val="24"/>
          <w:lang w:val="en-US"/>
        </w:rPr>
        <w:t>w</w:t>
      </w:r>
      <w:proofErr w:type="gramStart"/>
      <w:r w:rsidRPr="00EF63FD">
        <w:rPr>
          <w:rFonts w:eastAsia="Times New Roman"/>
          <w:sz w:val="24"/>
          <w:szCs w:val="24"/>
          <w:lang w:val="en-US"/>
        </w:rPr>
        <w:t>·(</w:t>
      </w:r>
      <w:proofErr w:type="gramEnd"/>
      <w:r w:rsidRPr="00EF63FD">
        <w:rPr>
          <w:rFonts w:eastAsia="Times New Roman"/>
          <w:i/>
          <w:sz w:val="24"/>
          <w:szCs w:val="24"/>
          <w:lang w:val="en-US"/>
        </w:rPr>
        <w:t>w</w:t>
      </w:r>
      <w:r w:rsidRPr="00EF63FD">
        <w:rPr>
          <w:rFonts w:eastAsia="Times New Roman"/>
          <w:sz w:val="24"/>
          <w:szCs w:val="24"/>
          <w:vertAlign w:val="subscript"/>
          <w:lang w:val="en-US"/>
        </w:rPr>
        <w:t>0</w:t>
      </w:r>
      <w:r w:rsidRPr="00EF63FD">
        <w:rPr>
          <w:rFonts w:eastAsia="Times New Roman"/>
          <w:sz w:val="24"/>
          <w:szCs w:val="24"/>
          <w:lang w:val="en-US"/>
        </w:rPr>
        <w:t>)</w:t>
      </w:r>
      <w:r w:rsidRPr="00EF63FD">
        <w:rPr>
          <w:rFonts w:eastAsia="Times New Roman"/>
          <w:sz w:val="24"/>
          <w:szCs w:val="24"/>
          <w:vertAlign w:val="superscript"/>
          <w:lang w:val="en-US"/>
        </w:rPr>
        <w:t>-1</w:t>
      </w:r>
      <w:r w:rsidRPr="00EF63FD">
        <w:rPr>
          <w:rFonts w:eastAsia="Times New Roman"/>
          <w:sz w:val="24"/>
          <w:szCs w:val="24"/>
          <w:lang w:val="en-US"/>
        </w:rPr>
        <w:t xml:space="preserve"> = </w:t>
      </w:r>
      <w:r w:rsidRPr="00EF63FD">
        <w:rPr>
          <w:rFonts w:eastAsia="Times New Roman"/>
          <w:i/>
          <w:sz w:val="24"/>
          <w:szCs w:val="24"/>
          <w:lang w:val="en-US"/>
        </w:rPr>
        <w:t>fk</w:t>
      </w:r>
      <w:r w:rsidRPr="00EF63FD">
        <w:rPr>
          <w:rFonts w:eastAsia="Times New Roman"/>
          <w:sz w:val="24"/>
          <w:szCs w:val="24"/>
          <w:vertAlign w:val="subscript"/>
          <w:lang w:val="en-US"/>
        </w:rPr>
        <w:t>7</w:t>
      </w:r>
      <w:r w:rsidRPr="00EF63FD">
        <w:rPr>
          <w:rFonts w:eastAsia="Times New Roman"/>
          <w:sz w:val="24"/>
          <w:szCs w:val="24"/>
          <w:lang w:val="en-US"/>
        </w:rPr>
        <w:t>·[</w:t>
      </w:r>
      <w:r w:rsidRPr="00EF63FD">
        <w:rPr>
          <w:rFonts w:eastAsia="Times New Roman"/>
          <w:b/>
          <w:sz w:val="24"/>
          <w:szCs w:val="24"/>
          <w:lang w:val="en-US"/>
        </w:rPr>
        <w:t>1</w:t>
      </w:r>
      <w:r w:rsidRPr="00EF63FD">
        <w:rPr>
          <w:rFonts w:eastAsia="Times New Roman"/>
          <w:b/>
          <w:sz w:val="24"/>
          <w:szCs w:val="24"/>
        </w:rPr>
        <w:t>а</w:t>
      </w:r>
      <w:r w:rsidRPr="00EF63FD">
        <w:rPr>
          <w:rFonts w:eastAsia="Times New Roman"/>
          <w:sz w:val="24"/>
          <w:szCs w:val="24"/>
          <w:lang w:val="en-US"/>
        </w:rPr>
        <w:t>]·(2</w:t>
      </w:r>
      <w:r w:rsidRPr="00EF63FD">
        <w:rPr>
          <w:rFonts w:eastAsia="Times New Roman"/>
          <w:i/>
          <w:sz w:val="24"/>
          <w:szCs w:val="24"/>
          <w:lang w:val="en-US"/>
        </w:rPr>
        <w:t>k</w:t>
      </w:r>
      <w:r w:rsidRPr="00EF63FD">
        <w:rPr>
          <w:rFonts w:eastAsia="Times New Roman"/>
          <w:sz w:val="24"/>
          <w:szCs w:val="24"/>
          <w:vertAlign w:val="subscript"/>
          <w:lang w:val="en-US"/>
        </w:rPr>
        <w:t>6</w:t>
      </w:r>
      <w:r w:rsidRPr="00EF63FD">
        <w:rPr>
          <w:rFonts w:eastAsia="Times New Roman"/>
          <w:sz w:val="24"/>
          <w:szCs w:val="24"/>
          <w:lang w:val="en-US"/>
        </w:rPr>
        <w:t>·</w:t>
      </w:r>
      <w:r w:rsidRPr="00EF63FD">
        <w:rPr>
          <w:rFonts w:eastAsia="Times New Roman"/>
          <w:i/>
          <w:sz w:val="24"/>
          <w:szCs w:val="24"/>
          <w:lang w:val="en-US"/>
        </w:rPr>
        <w:t>w</w:t>
      </w:r>
      <w:r w:rsidRPr="00EF63FD">
        <w:rPr>
          <w:rFonts w:eastAsia="Times New Roman"/>
          <w:sz w:val="24"/>
          <w:szCs w:val="24"/>
          <w:vertAlign w:val="subscript"/>
          <w:lang w:val="en-US"/>
        </w:rPr>
        <w:t>i</w:t>
      </w:r>
      <w:r w:rsidRPr="00EF63FD">
        <w:rPr>
          <w:rFonts w:eastAsia="Times New Roman"/>
          <w:sz w:val="24"/>
          <w:szCs w:val="24"/>
          <w:lang w:val="en-US"/>
        </w:rPr>
        <w:t>)</w:t>
      </w:r>
      <w:r w:rsidRPr="00EF63FD">
        <w:rPr>
          <w:rFonts w:eastAsia="Times New Roman"/>
          <w:sz w:val="24"/>
          <w:szCs w:val="24"/>
          <w:vertAlign w:val="superscript"/>
          <w:lang w:val="en-US"/>
        </w:rPr>
        <w:t>-0.5</w:t>
      </w:r>
      <w:r w:rsidR="003D317E" w:rsidRPr="003D317E">
        <w:rPr>
          <w:rFonts w:eastAsia="Times New Roman"/>
          <w:sz w:val="24"/>
          <w:szCs w:val="24"/>
          <w:vertAlign w:val="superscript"/>
          <w:lang w:val="en-US"/>
        </w:rPr>
        <w:tab/>
      </w:r>
      <w:r w:rsidR="003D317E" w:rsidRPr="003D317E">
        <w:rPr>
          <w:rFonts w:eastAsia="Times New Roman"/>
          <w:sz w:val="24"/>
          <w:szCs w:val="24"/>
          <w:lang w:val="en-US"/>
        </w:rPr>
        <w:t>(1)</w:t>
      </w:r>
      <w:r w:rsidRPr="00EF63FD">
        <w:rPr>
          <w:rFonts w:eastAsia="Times New Roman"/>
          <w:sz w:val="24"/>
          <w:szCs w:val="24"/>
          <w:lang w:val="en-US"/>
        </w:rPr>
        <w:t xml:space="preserve">, </w:t>
      </w:r>
    </w:p>
    <w:p w:rsidR="00EF63FD" w:rsidRPr="00EF63FD" w:rsidRDefault="00EF63FD" w:rsidP="00EF63FD">
      <w:pPr>
        <w:spacing w:line="240" w:lineRule="auto"/>
        <w:ind w:firstLine="397"/>
        <w:rPr>
          <w:rFonts w:eastAsia="Times New Roman"/>
          <w:sz w:val="24"/>
          <w:szCs w:val="24"/>
        </w:rPr>
      </w:pPr>
      <w:r w:rsidRPr="00EF63FD">
        <w:rPr>
          <w:rFonts w:eastAsia="Times New Roman"/>
          <w:sz w:val="24"/>
          <w:szCs w:val="24"/>
        </w:rPr>
        <w:t xml:space="preserve">здесь </w:t>
      </w:r>
      <w:proofErr w:type="spellStart"/>
      <w:r w:rsidRPr="00EF63FD">
        <w:rPr>
          <w:rFonts w:eastAsia="Times New Roman"/>
          <w:i/>
          <w:sz w:val="24"/>
          <w:szCs w:val="24"/>
        </w:rPr>
        <w:t>w</w:t>
      </w:r>
      <w:r w:rsidRPr="00EF63FD">
        <w:rPr>
          <w:rFonts w:eastAsia="Times New Roman"/>
          <w:sz w:val="24"/>
          <w:szCs w:val="24"/>
          <w:vertAlign w:val="subscript"/>
        </w:rPr>
        <w:t>i</w:t>
      </w:r>
      <w:proofErr w:type="spellEnd"/>
      <w:r w:rsidRPr="00EF63FD">
        <w:rPr>
          <w:rFonts w:eastAsia="Times New Roman"/>
          <w:sz w:val="24"/>
          <w:szCs w:val="24"/>
        </w:rPr>
        <w:t xml:space="preserve"> – скорость инициирования, </w:t>
      </w:r>
      <w:r w:rsidRPr="00EF63FD">
        <w:rPr>
          <w:rFonts w:eastAsia="Times New Roman"/>
          <w:i/>
          <w:sz w:val="24"/>
          <w:szCs w:val="24"/>
          <w:lang w:val="en-US"/>
        </w:rPr>
        <w:t>f</w:t>
      </w:r>
      <w:r w:rsidRPr="00EF63FD">
        <w:rPr>
          <w:rFonts w:eastAsia="Times New Roman"/>
          <w:sz w:val="24"/>
          <w:szCs w:val="24"/>
        </w:rPr>
        <w:t xml:space="preserve"> – стехиометрический коэффициент ингибирования, [</w:t>
      </w:r>
      <w:r w:rsidRPr="00EF63FD">
        <w:rPr>
          <w:rFonts w:eastAsia="Times New Roman"/>
          <w:b/>
          <w:sz w:val="24"/>
          <w:szCs w:val="24"/>
        </w:rPr>
        <w:t>1а</w:t>
      </w:r>
      <w:r w:rsidRPr="00EF63FD">
        <w:rPr>
          <w:rFonts w:eastAsia="Times New Roman"/>
          <w:sz w:val="24"/>
          <w:szCs w:val="24"/>
        </w:rPr>
        <w:t xml:space="preserve">] – начальная концентрация соединения </w:t>
      </w:r>
      <w:r w:rsidRPr="00EF63FD">
        <w:rPr>
          <w:rFonts w:eastAsia="Times New Roman"/>
          <w:b/>
          <w:sz w:val="24"/>
          <w:szCs w:val="24"/>
        </w:rPr>
        <w:t>1а</w:t>
      </w:r>
      <w:r w:rsidRPr="00EF63FD">
        <w:rPr>
          <w:rFonts w:eastAsia="Times New Roman"/>
          <w:sz w:val="24"/>
          <w:szCs w:val="24"/>
        </w:rPr>
        <w:t xml:space="preserve"> (в моль л</w:t>
      </w:r>
      <w:r w:rsidRPr="00EF63FD">
        <w:rPr>
          <w:rFonts w:eastAsia="Times New Roman"/>
          <w:sz w:val="24"/>
          <w:szCs w:val="24"/>
          <w:vertAlign w:val="superscript"/>
        </w:rPr>
        <w:t>-1</w:t>
      </w:r>
      <w:r w:rsidRPr="00EF63FD">
        <w:rPr>
          <w:rFonts w:eastAsia="Times New Roman"/>
          <w:sz w:val="24"/>
          <w:szCs w:val="24"/>
        </w:rPr>
        <w:t xml:space="preserve">), </w:t>
      </w:r>
      <w:r w:rsidRPr="00EF63FD">
        <w:rPr>
          <w:rFonts w:eastAsia="Times New Roman"/>
          <w:i/>
          <w:sz w:val="24"/>
          <w:szCs w:val="24"/>
          <w:lang w:val="en-US"/>
        </w:rPr>
        <w:t>w</w:t>
      </w:r>
      <w:r w:rsidRPr="00EF63FD">
        <w:rPr>
          <w:rFonts w:eastAsia="Times New Roman"/>
          <w:sz w:val="24"/>
          <w:szCs w:val="24"/>
          <w:vertAlign w:val="subscript"/>
        </w:rPr>
        <w:t>0</w:t>
      </w:r>
      <w:r w:rsidRPr="00EF63FD">
        <w:rPr>
          <w:rFonts w:eastAsia="Times New Roman"/>
          <w:sz w:val="24"/>
          <w:szCs w:val="24"/>
        </w:rPr>
        <w:t xml:space="preserve"> и </w:t>
      </w:r>
      <w:r w:rsidRPr="00EF63FD">
        <w:rPr>
          <w:rFonts w:eastAsia="Times New Roman"/>
          <w:i/>
          <w:sz w:val="24"/>
          <w:szCs w:val="24"/>
          <w:lang w:val="en-US"/>
        </w:rPr>
        <w:t>w</w:t>
      </w:r>
      <w:r w:rsidRPr="00EF63FD">
        <w:rPr>
          <w:rFonts w:eastAsia="Times New Roman"/>
          <w:sz w:val="24"/>
          <w:szCs w:val="24"/>
        </w:rPr>
        <w:t xml:space="preserve"> – начальные скорости поглощени</w:t>
      </w:r>
      <w:bookmarkStart w:id="1" w:name="_GoBack"/>
      <w:bookmarkEnd w:id="1"/>
      <w:r w:rsidRPr="00EF63FD">
        <w:rPr>
          <w:rFonts w:eastAsia="Times New Roman"/>
          <w:sz w:val="24"/>
          <w:szCs w:val="24"/>
        </w:rPr>
        <w:t>я кислорода в отсутствие и в присутствии ингибитора соответственно (в моль л</w:t>
      </w:r>
      <w:r w:rsidRPr="00EF63FD">
        <w:rPr>
          <w:rFonts w:eastAsia="Times New Roman"/>
          <w:sz w:val="24"/>
          <w:szCs w:val="24"/>
          <w:vertAlign w:val="superscript"/>
        </w:rPr>
        <w:t>-1</w:t>
      </w:r>
      <w:r w:rsidRPr="00EF63FD">
        <w:rPr>
          <w:rFonts w:eastAsia="Times New Roman"/>
          <w:sz w:val="24"/>
          <w:szCs w:val="24"/>
        </w:rPr>
        <w:t>с</w:t>
      </w:r>
      <w:r w:rsidRPr="00EF63FD">
        <w:rPr>
          <w:rFonts w:eastAsia="Times New Roman"/>
          <w:sz w:val="24"/>
          <w:szCs w:val="24"/>
          <w:vertAlign w:val="superscript"/>
        </w:rPr>
        <w:t>-1</w:t>
      </w:r>
      <w:r w:rsidRPr="00EF63FD">
        <w:rPr>
          <w:rFonts w:eastAsia="Times New Roman"/>
          <w:sz w:val="24"/>
          <w:szCs w:val="24"/>
        </w:rPr>
        <w:t>), 2</w:t>
      </w:r>
      <w:r w:rsidRPr="00EF63FD">
        <w:rPr>
          <w:rFonts w:eastAsia="Times New Roman"/>
          <w:i/>
          <w:sz w:val="24"/>
          <w:szCs w:val="24"/>
          <w:lang w:val="en-US"/>
        </w:rPr>
        <w:t>k</w:t>
      </w:r>
      <w:r w:rsidRPr="00EF63FD">
        <w:rPr>
          <w:rFonts w:eastAsia="Times New Roman"/>
          <w:sz w:val="24"/>
          <w:szCs w:val="24"/>
          <w:vertAlign w:val="subscript"/>
        </w:rPr>
        <w:t>6</w:t>
      </w:r>
      <w:r w:rsidRPr="00EF63FD">
        <w:rPr>
          <w:rFonts w:eastAsia="Times New Roman"/>
          <w:sz w:val="24"/>
          <w:szCs w:val="24"/>
        </w:rPr>
        <w:t xml:space="preserve"> и </w:t>
      </w:r>
      <w:proofErr w:type="spellStart"/>
      <w:r w:rsidRPr="00EF63FD">
        <w:rPr>
          <w:rFonts w:eastAsia="Times New Roman"/>
          <w:i/>
          <w:sz w:val="24"/>
          <w:szCs w:val="24"/>
          <w:lang w:val="en-US"/>
        </w:rPr>
        <w:t>fk</w:t>
      </w:r>
      <w:proofErr w:type="spellEnd"/>
      <w:r w:rsidRPr="00EF63FD">
        <w:rPr>
          <w:rFonts w:eastAsia="Times New Roman"/>
          <w:sz w:val="24"/>
          <w:szCs w:val="24"/>
          <w:vertAlign w:val="subscript"/>
        </w:rPr>
        <w:t>7</w:t>
      </w:r>
      <w:r w:rsidRPr="00EF63FD">
        <w:rPr>
          <w:rFonts w:eastAsia="Times New Roman"/>
          <w:sz w:val="24"/>
          <w:szCs w:val="24"/>
        </w:rPr>
        <w:t xml:space="preserve"> – константы скорости обрыва цепи окисления по реакции рекомбинации </w:t>
      </w:r>
      <w:proofErr w:type="spellStart"/>
      <w:r w:rsidRPr="00EF63FD">
        <w:rPr>
          <w:rFonts w:eastAsia="Times New Roman"/>
          <w:sz w:val="24"/>
          <w:szCs w:val="24"/>
        </w:rPr>
        <w:t>пероксильных</w:t>
      </w:r>
      <w:proofErr w:type="spellEnd"/>
      <w:r w:rsidRPr="00EF63FD">
        <w:rPr>
          <w:rFonts w:eastAsia="Times New Roman"/>
          <w:sz w:val="24"/>
          <w:szCs w:val="24"/>
        </w:rPr>
        <w:t xml:space="preserve"> радикалов 1,4-диоксана и на молекулах ингибитора соответственно (в л·моль</w:t>
      </w:r>
      <w:r w:rsidRPr="00EF63FD">
        <w:rPr>
          <w:rFonts w:eastAsia="Times New Roman"/>
          <w:sz w:val="24"/>
          <w:szCs w:val="24"/>
          <w:vertAlign w:val="superscript"/>
        </w:rPr>
        <w:t>-1</w:t>
      </w:r>
      <w:r w:rsidRPr="00EF63FD">
        <w:rPr>
          <w:rFonts w:eastAsia="Times New Roman"/>
          <w:sz w:val="24"/>
          <w:szCs w:val="24"/>
        </w:rPr>
        <w:t>с</w:t>
      </w:r>
      <w:r w:rsidRPr="00EF63FD">
        <w:rPr>
          <w:rFonts w:eastAsia="Times New Roman"/>
          <w:sz w:val="24"/>
          <w:szCs w:val="24"/>
          <w:vertAlign w:val="superscript"/>
        </w:rPr>
        <w:t>-1</w:t>
      </w:r>
      <w:r w:rsidRPr="00EF63FD">
        <w:rPr>
          <w:rFonts w:eastAsia="Times New Roman"/>
          <w:sz w:val="24"/>
          <w:szCs w:val="24"/>
        </w:rPr>
        <w:t>), 2</w:t>
      </w:r>
      <w:r w:rsidRPr="00EF63FD">
        <w:rPr>
          <w:rFonts w:eastAsia="Times New Roman"/>
          <w:i/>
          <w:sz w:val="24"/>
          <w:szCs w:val="24"/>
          <w:lang w:val="en-US"/>
        </w:rPr>
        <w:t>k</w:t>
      </w:r>
      <w:r w:rsidRPr="00EF63FD">
        <w:rPr>
          <w:rFonts w:eastAsia="Times New Roman"/>
          <w:sz w:val="24"/>
          <w:szCs w:val="24"/>
          <w:vertAlign w:val="subscript"/>
        </w:rPr>
        <w:t>6</w:t>
      </w:r>
      <w:r w:rsidRPr="00EF63FD">
        <w:rPr>
          <w:rFonts w:eastAsia="Times New Roman"/>
          <w:sz w:val="24"/>
          <w:szCs w:val="24"/>
          <w:vertAlign w:val="superscript"/>
        </w:rPr>
        <w:t xml:space="preserve"> </w:t>
      </w:r>
      <w:r w:rsidRPr="00EF63FD">
        <w:rPr>
          <w:rFonts w:eastAsia="Times New Roman"/>
          <w:sz w:val="24"/>
          <w:szCs w:val="24"/>
        </w:rPr>
        <w:t>= 10</w:t>
      </w:r>
      <w:r w:rsidRPr="00EF63FD">
        <w:rPr>
          <w:rFonts w:eastAsia="Times New Roman"/>
          <w:sz w:val="24"/>
          <w:szCs w:val="24"/>
          <w:vertAlign w:val="superscript"/>
        </w:rPr>
        <w:t>9</w:t>
      </w:r>
      <w:r w:rsidRPr="00EF63FD">
        <w:rPr>
          <w:rFonts w:eastAsia="Times New Roman"/>
          <w:sz w:val="24"/>
          <w:szCs w:val="24"/>
        </w:rPr>
        <w:t> л·моль</w:t>
      </w:r>
      <w:r w:rsidRPr="00EF63FD">
        <w:rPr>
          <w:rFonts w:eastAsia="Times New Roman"/>
          <w:sz w:val="24"/>
          <w:szCs w:val="24"/>
          <w:vertAlign w:val="superscript"/>
        </w:rPr>
        <w:t>-1</w:t>
      </w:r>
      <w:r w:rsidRPr="00EF63FD">
        <w:rPr>
          <w:rFonts w:eastAsia="Times New Roman"/>
          <w:sz w:val="24"/>
          <w:szCs w:val="24"/>
        </w:rPr>
        <w:t>·с</w:t>
      </w:r>
      <w:r w:rsidRPr="00EF63FD">
        <w:rPr>
          <w:rFonts w:eastAsia="Times New Roman"/>
          <w:sz w:val="24"/>
          <w:szCs w:val="24"/>
          <w:vertAlign w:val="superscript"/>
        </w:rPr>
        <w:t>-1</w:t>
      </w:r>
      <w:r w:rsidRPr="00EF63FD">
        <w:rPr>
          <w:rFonts w:eastAsia="Times New Roman"/>
          <w:sz w:val="24"/>
          <w:szCs w:val="24"/>
        </w:rPr>
        <w:t>.</w:t>
      </w:r>
    </w:p>
    <w:p w:rsidR="00EF63FD" w:rsidRPr="00EF63FD" w:rsidRDefault="00EF63FD" w:rsidP="00EF63FD">
      <w:pPr>
        <w:spacing w:line="240" w:lineRule="auto"/>
        <w:ind w:firstLine="397"/>
        <w:rPr>
          <w:rFonts w:eastAsia="Times New Roman"/>
          <w:sz w:val="24"/>
          <w:szCs w:val="24"/>
        </w:rPr>
      </w:pPr>
      <w:r w:rsidRPr="00EF63FD">
        <w:rPr>
          <w:rFonts w:eastAsia="Times New Roman"/>
          <w:sz w:val="24"/>
          <w:szCs w:val="24"/>
        </w:rPr>
        <w:t xml:space="preserve">Линейная зависимость параметра </w:t>
      </w:r>
      <w:r w:rsidRPr="00EF63FD">
        <w:rPr>
          <w:rFonts w:eastAsia="Times New Roman"/>
          <w:sz w:val="24"/>
          <w:szCs w:val="24"/>
          <w:lang w:val="en-US"/>
        </w:rPr>
        <w:t>F</w:t>
      </w:r>
      <w:r w:rsidRPr="00EF63FD">
        <w:rPr>
          <w:rFonts w:eastAsia="Times New Roman"/>
          <w:sz w:val="24"/>
          <w:szCs w:val="24"/>
        </w:rPr>
        <w:t xml:space="preserve"> от [</w:t>
      </w:r>
      <w:r w:rsidRPr="00EF63FD">
        <w:rPr>
          <w:rFonts w:eastAsia="Times New Roman"/>
          <w:b/>
          <w:sz w:val="24"/>
          <w:szCs w:val="24"/>
        </w:rPr>
        <w:t>1а</w:t>
      </w:r>
      <w:r w:rsidRPr="00EF63FD">
        <w:rPr>
          <w:rFonts w:eastAsia="Times New Roman"/>
          <w:sz w:val="24"/>
          <w:szCs w:val="24"/>
        </w:rPr>
        <w:t xml:space="preserve">] (рисунок </w:t>
      </w:r>
      <w:r w:rsidRPr="00EF63FD">
        <w:rPr>
          <w:rFonts w:eastAsia="Times New Roman"/>
          <w:b/>
          <w:i/>
          <w:sz w:val="24"/>
          <w:szCs w:val="24"/>
          <w:lang w:val="en-US"/>
        </w:rPr>
        <w:t>b</w:t>
      </w:r>
      <w:r w:rsidRPr="00EF63FD">
        <w:rPr>
          <w:rFonts w:eastAsia="Times New Roman"/>
          <w:sz w:val="24"/>
          <w:szCs w:val="24"/>
        </w:rPr>
        <w:t xml:space="preserve">) позволила найти эффективную константу ингибирования </w:t>
      </w:r>
      <w:proofErr w:type="spellStart"/>
      <w:r w:rsidRPr="00EF63FD">
        <w:rPr>
          <w:rFonts w:eastAsia="Times New Roman"/>
          <w:i/>
          <w:sz w:val="24"/>
          <w:szCs w:val="24"/>
          <w:lang w:val="en-US"/>
        </w:rPr>
        <w:t>fk</w:t>
      </w:r>
      <w:proofErr w:type="spellEnd"/>
      <w:r w:rsidRPr="00EF63FD">
        <w:rPr>
          <w:rFonts w:eastAsia="Times New Roman"/>
          <w:sz w:val="24"/>
          <w:szCs w:val="24"/>
          <w:vertAlign w:val="subscript"/>
        </w:rPr>
        <w:t>7</w:t>
      </w:r>
      <w:r w:rsidRPr="00EF63FD">
        <w:rPr>
          <w:rFonts w:eastAsia="Times New Roman"/>
          <w:sz w:val="24"/>
          <w:szCs w:val="24"/>
        </w:rPr>
        <w:t xml:space="preserve"> = (1.7±0.1) × 10</w:t>
      </w:r>
      <w:r w:rsidRPr="00EF63FD">
        <w:rPr>
          <w:rFonts w:eastAsia="Times New Roman"/>
          <w:sz w:val="24"/>
          <w:szCs w:val="24"/>
          <w:vertAlign w:val="superscript"/>
        </w:rPr>
        <w:t>5</w:t>
      </w:r>
      <w:r w:rsidRPr="00EF63FD">
        <w:rPr>
          <w:rFonts w:eastAsia="Times New Roman"/>
          <w:sz w:val="24"/>
          <w:szCs w:val="24"/>
        </w:rPr>
        <w:t xml:space="preserve"> л·моль</w:t>
      </w:r>
      <w:r w:rsidRPr="00EF63FD">
        <w:rPr>
          <w:rFonts w:eastAsia="Times New Roman"/>
          <w:sz w:val="24"/>
          <w:szCs w:val="24"/>
          <w:vertAlign w:val="superscript"/>
        </w:rPr>
        <w:t>-1</w:t>
      </w:r>
      <w:r w:rsidRPr="00EF63FD">
        <w:rPr>
          <w:rFonts w:eastAsia="Times New Roman"/>
          <w:sz w:val="24"/>
          <w:szCs w:val="24"/>
        </w:rPr>
        <w:t xml:space="preserve"> с</w:t>
      </w:r>
      <w:r w:rsidRPr="00EF63FD">
        <w:rPr>
          <w:rFonts w:eastAsia="Times New Roman"/>
          <w:sz w:val="24"/>
          <w:szCs w:val="24"/>
          <w:vertAlign w:val="superscript"/>
        </w:rPr>
        <w:t>-1</w:t>
      </w:r>
      <w:r w:rsidRPr="00EF63FD">
        <w:rPr>
          <w:rFonts w:eastAsia="Times New Roman"/>
          <w:sz w:val="24"/>
          <w:szCs w:val="24"/>
        </w:rPr>
        <w:t>. Это свидетельствует о том, что исследованное соединение является эффективным ингибитором окисления.</w:t>
      </w:r>
    </w:p>
    <w:p w:rsidR="00EF63FD" w:rsidRPr="00EF63FD" w:rsidRDefault="00C235D2" w:rsidP="003D317E">
      <w:pPr>
        <w:spacing w:line="240" w:lineRule="auto"/>
        <w:ind w:firstLine="0"/>
        <w:jc w:val="center"/>
        <w:rPr>
          <w:rFonts w:eastAsia="Times New Roman"/>
          <w:sz w:val="24"/>
          <w:szCs w:val="20"/>
        </w:rPr>
      </w:pPr>
      <w:r>
        <w:rPr>
          <w:noProof/>
        </w:rPr>
        <w:pict>
          <v:shape id="Рисунок 2" o:spid="_x0000_s1048" type="#_x0000_t75" style="position:absolute;left:0;text-align:left;margin-left:228.95pt;margin-top:5.15pt;width:230.25pt;height:138.4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8" o:title=""/>
            <w10:wrap type="square"/>
          </v:shape>
        </w:pict>
      </w:r>
      <w:r>
        <w:rPr>
          <w:noProof/>
        </w:rPr>
        <w:pict>
          <v:shape id="Рисунок 3" o:spid="_x0000_s1047" type="#_x0000_t75" style="position:absolute;left:0;text-align:left;margin-left:8pt;margin-top:5.15pt;width:217.2pt;height:138.4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9" o:title=""/>
            <w10:wrap type="square"/>
          </v:shape>
        </w:pict>
      </w:r>
      <w:r w:rsidR="00EF63FD" w:rsidRPr="00EF63FD">
        <w:rPr>
          <w:rFonts w:eastAsia="Times New Roman"/>
          <w:sz w:val="24"/>
          <w:szCs w:val="20"/>
        </w:rPr>
        <w:t>Рис. 1. Зависимость (</w:t>
      </w:r>
      <w:r w:rsidR="00EF63FD" w:rsidRPr="00EF63FD">
        <w:rPr>
          <w:rFonts w:eastAsia="Times New Roman"/>
          <w:b/>
          <w:i/>
          <w:sz w:val="24"/>
          <w:szCs w:val="20"/>
        </w:rPr>
        <w:t>а</w:t>
      </w:r>
      <w:r w:rsidR="00EF63FD" w:rsidRPr="00EF63FD">
        <w:rPr>
          <w:rFonts w:eastAsia="Times New Roman"/>
          <w:sz w:val="24"/>
          <w:szCs w:val="20"/>
        </w:rPr>
        <w:t xml:space="preserve">) начальной скорости окисления 1,4-диоксана от концентрации </w:t>
      </w:r>
      <w:r w:rsidR="00EF63FD" w:rsidRPr="00EF63FD">
        <w:rPr>
          <w:rFonts w:eastAsia="Times New Roman"/>
          <w:b/>
          <w:sz w:val="24"/>
          <w:szCs w:val="20"/>
        </w:rPr>
        <w:t xml:space="preserve">1а </w:t>
      </w:r>
      <w:r w:rsidR="00EF63FD" w:rsidRPr="00EF63FD">
        <w:rPr>
          <w:rFonts w:eastAsia="Times New Roman"/>
          <w:sz w:val="24"/>
          <w:szCs w:val="20"/>
        </w:rPr>
        <w:t>и ее преобразование (</w:t>
      </w:r>
      <w:r w:rsidR="00EF63FD" w:rsidRPr="00EF63FD">
        <w:rPr>
          <w:rFonts w:eastAsia="Times New Roman"/>
          <w:b/>
          <w:i/>
          <w:sz w:val="24"/>
          <w:szCs w:val="20"/>
          <w:lang w:val="en-US"/>
        </w:rPr>
        <w:t>b</w:t>
      </w:r>
      <w:r w:rsidR="00EF63FD" w:rsidRPr="00EF63FD">
        <w:rPr>
          <w:rFonts w:eastAsia="Times New Roman"/>
          <w:sz w:val="24"/>
          <w:szCs w:val="20"/>
        </w:rPr>
        <w:t>) в координатах уравнения (1)</w:t>
      </w:r>
      <w:r w:rsidR="003D317E">
        <w:rPr>
          <w:rFonts w:eastAsia="Times New Roman"/>
          <w:sz w:val="24"/>
          <w:szCs w:val="20"/>
        </w:rPr>
        <w:t>. Условия реакции:</w:t>
      </w:r>
      <w:r w:rsidR="003D317E">
        <w:rPr>
          <w:rFonts w:eastAsia="Times New Roman"/>
          <w:sz w:val="24"/>
          <w:szCs w:val="20"/>
        </w:rPr>
        <w:br/>
      </w:r>
      <w:r w:rsidR="00EF63FD" w:rsidRPr="00EF63FD">
        <w:rPr>
          <w:rFonts w:eastAsia="Times New Roman"/>
          <w:sz w:val="24"/>
          <w:szCs w:val="20"/>
        </w:rPr>
        <w:t xml:space="preserve">[1,4-диоксан] = 10.5 моль/л, </w:t>
      </w:r>
      <w:proofErr w:type="spellStart"/>
      <w:r w:rsidR="00EF63FD" w:rsidRPr="00EF63FD">
        <w:rPr>
          <w:rFonts w:eastAsia="Times New Roman"/>
          <w:i/>
          <w:sz w:val="24"/>
          <w:szCs w:val="20"/>
          <w:lang w:val="en-US"/>
        </w:rPr>
        <w:t>w</w:t>
      </w:r>
      <w:r w:rsidR="00EF63FD" w:rsidRPr="00EF63FD">
        <w:rPr>
          <w:rFonts w:eastAsia="Times New Roman"/>
          <w:i/>
          <w:sz w:val="24"/>
          <w:szCs w:val="20"/>
          <w:vertAlign w:val="subscript"/>
          <w:lang w:val="en-US"/>
        </w:rPr>
        <w:t>i</w:t>
      </w:r>
      <w:proofErr w:type="spellEnd"/>
      <w:r w:rsidR="00EF63FD" w:rsidRPr="00EF63FD">
        <w:rPr>
          <w:rFonts w:eastAsia="Times New Roman"/>
          <w:sz w:val="24"/>
          <w:szCs w:val="20"/>
        </w:rPr>
        <w:t xml:space="preserve"> = 1.1 × 10</w:t>
      </w:r>
      <w:r w:rsidR="00EF63FD" w:rsidRPr="00EF63FD">
        <w:rPr>
          <w:rFonts w:eastAsia="Times New Roman"/>
          <w:sz w:val="24"/>
          <w:szCs w:val="20"/>
          <w:vertAlign w:val="superscript"/>
        </w:rPr>
        <w:t>-7</w:t>
      </w:r>
      <w:r w:rsidR="00EF63FD" w:rsidRPr="00EF63FD">
        <w:rPr>
          <w:rFonts w:eastAsia="Times New Roman"/>
          <w:sz w:val="24"/>
          <w:szCs w:val="20"/>
        </w:rPr>
        <w:t> моль·л</w:t>
      </w:r>
      <w:r w:rsidR="00EF63FD" w:rsidRPr="00EF63FD">
        <w:rPr>
          <w:rFonts w:eastAsia="Times New Roman"/>
          <w:sz w:val="24"/>
          <w:szCs w:val="20"/>
          <w:vertAlign w:val="superscript"/>
        </w:rPr>
        <w:t>-1</w:t>
      </w:r>
      <w:r w:rsidR="00EF63FD" w:rsidRPr="00EF63FD">
        <w:rPr>
          <w:rFonts w:eastAsia="Times New Roman"/>
          <w:sz w:val="24"/>
          <w:szCs w:val="20"/>
        </w:rPr>
        <w:t>·с</w:t>
      </w:r>
      <w:r w:rsidR="00EF63FD" w:rsidRPr="00EF63FD">
        <w:rPr>
          <w:rFonts w:eastAsia="Times New Roman"/>
          <w:sz w:val="24"/>
          <w:szCs w:val="20"/>
          <w:vertAlign w:val="superscript"/>
        </w:rPr>
        <w:t>-1</w:t>
      </w:r>
      <w:r w:rsidR="00EF63FD" w:rsidRPr="00EF63FD">
        <w:rPr>
          <w:rFonts w:eastAsia="Times New Roman"/>
          <w:sz w:val="24"/>
          <w:szCs w:val="20"/>
        </w:rPr>
        <w:t>, 333</w:t>
      </w:r>
      <w:proofErr w:type="gramStart"/>
      <w:r w:rsidR="00EF63FD" w:rsidRPr="00EF63FD">
        <w:rPr>
          <w:rFonts w:eastAsia="Times New Roman"/>
          <w:sz w:val="24"/>
          <w:szCs w:val="20"/>
        </w:rPr>
        <w:t> К</w:t>
      </w:r>
      <w:proofErr w:type="gramEnd"/>
    </w:p>
    <w:p w:rsidR="00EA2042" w:rsidRPr="00611A1A" w:rsidRDefault="00EF63FD" w:rsidP="00EF63FD">
      <w:pPr>
        <w:pStyle w:val="BodyL"/>
        <w:spacing w:line="240" w:lineRule="auto"/>
        <w:ind w:firstLine="397"/>
        <w:rPr>
          <w:i/>
          <w:szCs w:val="24"/>
        </w:rPr>
      </w:pPr>
      <w:r w:rsidRPr="00EF63FD">
        <w:rPr>
          <w:i/>
          <w:szCs w:val="24"/>
          <w:lang w:eastAsia="ru-RU"/>
        </w:rPr>
        <w:t xml:space="preserve">Работа выполнена в соответствии с планом научно-исследовательских работ </w:t>
      </w:r>
      <w:proofErr w:type="spellStart"/>
      <w:r w:rsidRPr="00EF63FD">
        <w:rPr>
          <w:i/>
          <w:szCs w:val="24"/>
          <w:lang w:eastAsia="ru-RU"/>
        </w:rPr>
        <w:t>УфИХ</w:t>
      </w:r>
      <w:proofErr w:type="spellEnd"/>
      <w:r w:rsidRPr="00EF63FD">
        <w:rPr>
          <w:i/>
          <w:szCs w:val="24"/>
          <w:lang w:eastAsia="ru-RU"/>
        </w:rPr>
        <w:t xml:space="preserve"> УФИЦ РАН по теме «Реакционная способность молекул, содержащих активный кислород в процессах окисления органических соединений» рег. № НИОКТР 122031400201-0.</w:t>
      </w:r>
    </w:p>
    <w:sectPr w:rsidR="00EA2042" w:rsidRPr="00611A1A" w:rsidSect="000276AC">
      <w:pgSz w:w="11907" w:h="16839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7BB1"/>
    <w:rsid w:val="00026039"/>
    <w:rsid w:val="000276AC"/>
    <w:rsid w:val="00040274"/>
    <w:rsid w:val="000A5097"/>
    <w:rsid w:val="000D56EB"/>
    <w:rsid w:val="00120FDD"/>
    <w:rsid w:val="00126C68"/>
    <w:rsid w:val="00126F52"/>
    <w:rsid w:val="00131181"/>
    <w:rsid w:val="00132ECA"/>
    <w:rsid w:val="00144036"/>
    <w:rsid w:val="00146F47"/>
    <w:rsid w:val="001579E5"/>
    <w:rsid w:val="0018637E"/>
    <w:rsid w:val="001A42D0"/>
    <w:rsid w:val="001B435B"/>
    <w:rsid w:val="001C4E5A"/>
    <w:rsid w:val="001C51E2"/>
    <w:rsid w:val="001E5B4F"/>
    <w:rsid w:val="001E62F7"/>
    <w:rsid w:val="001E714B"/>
    <w:rsid w:val="002124C1"/>
    <w:rsid w:val="00243A92"/>
    <w:rsid w:val="00246199"/>
    <w:rsid w:val="002678D3"/>
    <w:rsid w:val="00271225"/>
    <w:rsid w:val="002B4D78"/>
    <w:rsid w:val="002C48F2"/>
    <w:rsid w:val="002D3676"/>
    <w:rsid w:val="002D3B58"/>
    <w:rsid w:val="002E1641"/>
    <w:rsid w:val="002F6996"/>
    <w:rsid w:val="002F7275"/>
    <w:rsid w:val="0030096E"/>
    <w:rsid w:val="00321F3E"/>
    <w:rsid w:val="00324994"/>
    <w:rsid w:val="003367D7"/>
    <w:rsid w:val="00337FD5"/>
    <w:rsid w:val="00342947"/>
    <w:rsid w:val="00354EC5"/>
    <w:rsid w:val="00362320"/>
    <w:rsid w:val="00366001"/>
    <w:rsid w:val="0036799E"/>
    <w:rsid w:val="003A2F69"/>
    <w:rsid w:val="003B58F4"/>
    <w:rsid w:val="003C7BB1"/>
    <w:rsid w:val="003D317E"/>
    <w:rsid w:val="00404F9A"/>
    <w:rsid w:val="0041277E"/>
    <w:rsid w:val="00426076"/>
    <w:rsid w:val="00450F14"/>
    <w:rsid w:val="00471021"/>
    <w:rsid w:val="004970B9"/>
    <w:rsid w:val="004A4118"/>
    <w:rsid w:val="004C56F6"/>
    <w:rsid w:val="004F4209"/>
    <w:rsid w:val="005231FB"/>
    <w:rsid w:val="005304EE"/>
    <w:rsid w:val="00531A94"/>
    <w:rsid w:val="00560DC9"/>
    <w:rsid w:val="0059130E"/>
    <w:rsid w:val="005975A7"/>
    <w:rsid w:val="005E32BB"/>
    <w:rsid w:val="00611A1A"/>
    <w:rsid w:val="00614B5C"/>
    <w:rsid w:val="00633F62"/>
    <w:rsid w:val="00654BDC"/>
    <w:rsid w:val="0067368F"/>
    <w:rsid w:val="00676199"/>
    <w:rsid w:val="006C7270"/>
    <w:rsid w:val="006D0A6E"/>
    <w:rsid w:val="007031F2"/>
    <w:rsid w:val="00710AFF"/>
    <w:rsid w:val="00714BE0"/>
    <w:rsid w:val="00716EC2"/>
    <w:rsid w:val="00736C32"/>
    <w:rsid w:val="00741E7E"/>
    <w:rsid w:val="0077008C"/>
    <w:rsid w:val="00783D3E"/>
    <w:rsid w:val="007876BA"/>
    <w:rsid w:val="007876E0"/>
    <w:rsid w:val="00801EE8"/>
    <w:rsid w:val="008021E5"/>
    <w:rsid w:val="00846EE5"/>
    <w:rsid w:val="00895E69"/>
    <w:rsid w:val="008A6A9D"/>
    <w:rsid w:val="008C48C0"/>
    <w:rsid w:val="008C6A3D"/>
    <w:rsid w:val="008E3049"/>
    <w:rsid w:val="008F0394"/>
    <w:rsid w:val="008F44ED"/>
    <w:rsid w:val="009243FD"/>
    <w:rsid w:val="00924AED"/>
    <w:rsid w:val="00931B5B"/>
    <w:rsid w:val="00935380"/>
    <w:rsid w:val="009B62B9"/>
    <w:rsid w:val="009D3370"/>
    <w:rsid w:val="009E1282"/>
    <w:rsid w:val="009E4C88"/>
    <w:rsid w:val="00A7425C"/>
    <w:rsid w:val="00A83E74"/>
    <w:rsid w:val="00A935AC"/>
    <w:rsid w:val="00AB0EA5"/>
    <w:rsid w:val="00AB3AD0"/>
    <w:rsid w:val="00AC67AA"/>
    <w:rsid w:val="00AD5071"/>
    <w:rsid w:val="00AE687E"/>
    <w:rsid w:val="00B40CE6"/>
    <w:rsid w:val="00B47A2A"/>
    <w:rsid w:val="00B534A3"/>
    <w:rsid w:val="00BA39AB"/>
    <w:rsid w:val="00BC21C2"/>
    <w:rsid w:val="00BD1974"/>
    <w:rsid w:val="00BD1FE8"/>
    <w:rsid w:val="00BD711F"/>
    <w:rsid w:val="00BF2721"/>
    <w:rsid w:val="00C05110"/>
    <w:rsid w:val="00C144F5"/>
    <w:rsid w:val="00C174EA"/>
    <w:rsid w:val="00C235D2"/>
    <w:rsid w:val="00C32D28"/>
    <w:rsid w:val="00C834CA"/>
    <w:rsid w:val="00C83BBE"/>
    <w:rsid w:val="00C86EE1"/>
    <w:rsid w:val="00C95634"/>
    <w:rsid w:val="00CB6748"/>
    <w:rsid w:val="00CC39D5"/>
    <w:rsid w:val="00CF5031"/>
    <w:rsid w:val="00D062B3"/>
    <w:rsid w:val="00D10F04"/>
    <w:rsid w:val="00D14DCC"/>
    <w:rsid w:val="00D32725"/>
    <w:rsid w:val="00D32CEB"/>
    <w:rsid w:val="00D4436A"/>
    <w:rsid w:val="00D55FF3"/>
    <w:rsid w:val="00D72A53"/>
    <w:rsid w:val="00D75D99"/>
    <w:rsid w:val="00DB54B2"/>
    <w:rsid w:val="00E11B05"/>
    <w:rsid w:val="00E12DE8"/>
    <w:rsid w:val="00E2661D"/>
    <w:rsid w:val="00E33923"/>
    <w:rsid w:val="00E41977"/>
    <w:rsid w:val="00E51B29"/>
    <w:rsid w:val="00E61463"/>
    <w:rsid w:val="00E960D9"/>
    <w:rsid w:val="00EA2042"/>
    <w:rsid w:val="00EA6B2A"/>
    <w:rsid w:val="00EB0A3A"/>
    <w:rsid w:val="00ED776E"/>
    <w:rsid w:val="00EF63FD"/>
    <w:rsid w:val="00F10299"/>
    <w:rsid w:val="00F16A30"/>
    <w:rsid w:val="00F2216C"/>
    <w:rsid w:val="00F35A36"/>
    <w:rsid w:val="00F470CF"/>
    <w:rsid w:val="00F64927"/>
    <w:rsid w:val="00F91EB6"/>
    <w:rsid w:val="00FD08B9"/>
    <w:rsid w:val="00FF4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8F4"/>
    <w:pPr>
      <w:spacing w:line="276" w:lineRule="auto"/>
      <w:ind w:firstLine="567"/>
      <w:jc w:val="both"/>
    </w:pPr>
    <w:rPr>
      <w:rFonts w:ascii="Times New Roman" w:hAnsi="Times New Roman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10F04"/>
    <w:rPr>
      <w:color w:val="0000FF"/>
      <w:u w:val="single"/>
    </w:rPr>
  </w:style>
  <w:style w:type="paragraph" w:customStyle="1" w:styleId="BodyL">
    <w:name w:val="BodyL."/>
    <w:basedOn w:val="a"/>
    <w:rsid w:val="00D10F04"/>
    <w:pPr>
      <w:spacing w:line="360" w:lineRule="auto"/>
    </w:pPr>
    <w:rPr>
      <w:rFonts w:eastAsia="Times New Roman"/>
      <w:sz w:val="24"/>
      <w:szCs w:val="20"/>
    </w:rPr>
  </w:style>
  <w:style w:type="table" w:styleId="a4">
    <w:name w:val="Table Grid"/>
    <w:basedOn w:val="a1"/>
    <w:locked/>
    <w:rsid w:val="003A2F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dress">
    <w:name w:val="Address"/>
    <w:basedOn w:val="a"/>
    <w:uiPriority w:val="99"/>
    <w:rsid w:val="009B62B9"/>
    <w:pPr>
      <w:spacing w:after="240" w:line="240" w:lineRule="auto"/>
      <w:jc w:val="center"/>
    </w:pPr>
    <w:rPr>
      <w:rFonts w:eastAsia="Times New Roman"/>
      <w:i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lmazmigranov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>
  <b:Source>
    <b:Tag>Bar93</b:Tag>
    <b:SourceType>ArticleInAPeriodical</b:SourceType>
    <b:Guid>{8A93653A-B336-440E-9819-D59A41754F0F}</b:Guid>
    <b:Author>
      <b:Author>
        <b:Corporate>Barclay L.R.C.</b:Corporate>
      </b:Author>
    </b:Author>
    <b:Title> 1992 Syntex Award Lecture. Model biomembranes: quantitative studies of peroxidation, antioxidant action, partitioning, and oxidative stress.</b:Title>
    <b:PeriodicalTitle>Can. J . Chem.</b:PeriodicalTitle>
    <b:Year>1993</b:Year>
    <b:Volume>71</b:Volume>
    <b:Issue>1</b:Issue>
    <b:Pages>1-16</b:Pages>
    <b:RefOrder>1</b:RefOrder>
  </b:Source>
  <b:Source>
    <b:Tag>Mus08</b:Tag>
    <b:SourceType>ArticleInAPeriodical</b:SourceType>
    <b:Guid>{23439CF7-9D4D-4D00-8E55-8FF31360536A}</b:Guid>
    <b:Author>
      <b:Author>
        <b:Corporate>Musialik M., Kita M., Litwinienko G.</b:Corporate>
      </b:Author>
    </b:Author>
    <b:Title>Initiation of lipid autoxidation by ABAP at pH 4–10 in SDS micelles</b:Title>
    <b:PeriodicalTitle>Org. Biomol. Chem.</b:PeriodicalTitle>
    <b:Year>2008</b:Year>
    <b:Volume>6</b:Volume>
    <b:Issue>4</b:Issue>
    <b:Pages>677–681</b:Pages>
    <b:RefOrder>2</b:RefOrder>
  </b:Source>
  <b:Source>
    <b:Tag>Amo16</b:Tag>
    <b:SourceType>ArticleInAPeriodical</b:SourceType>
    <b:Guid>{19B43037-D7D0-406A-A7B6-5C6155E9F26B}</b:Guid>
    <b:Author>
      <b:Author>
        <b:Corporate>Amorati R., Baschieri A., Morroni G., Gambino R., Valgimigli L.</b:Corporate>
      </b:Author>
    </b:Author>
    <b:Title>Peroxyl Radical Reactions in Water Solution: A Gym for Proton-Coupled Electron-Transfer Theories</b:Title>
    <b:PeriodicalTitle>Chem. Eur. J.</b:PeriodicalTitle>
    <b:Year>2016</b:Year>
    <b:Volume>22</b:Volume>
    <b:Issue>23</b:Issue>
    <b:Pages>7924–7934</b:Pages>
    <b:RefOrder>3</b:RefOrder>
  </b:Source>
  <b:Source>
    <b:Tag>Jod15</b:Tag>
    <b:SourceType>ArticleInAPeriodical</b:SourceType>
    <b:Guid>{02F44D08-F207-4F43-BAF0-76C818D134A4}</b:Guid>
    <b:Author>
      <b:Author>
        <b:Corporate>Jodko-Piórecka K., Litwinienko G.</b:Corporate>
      </b:Author>
    </b:Author>
    <b:Title>Antioxidant activity of dopamine and L-DOPA in lipid micelles and their cooperation with an analogue of α-tocopherol</b:Title>
    <b:PeriodicalTitle>Free Rad. Biol. Med.</b:PeriodicalTitle>
    <b:Year>2015</b:Year>
    <b:Volume>83</b:Volume>
    <b:Pages>1-11</b:Pages>
    <b:RefOrder>4</b:RefOrder>
  </b:Source>
  <b:Source>
    <b:Tag>Мос18</b:Tag>
    <b:SourceType>ArticleInAPeriodical</b:SourceType>
    <b:Guid>{3A7B3501-6AD3-48E8-9FDA-CE415389E25D}</b:Guid>
    <b:Author>
      <b:Author>
        <b:Corporate>Москаленко И.В., Тихонов И.В., Плисс Е.М., Фомич М.А., Шманай В.В., Русаков А.И.</b:Corporate>
      </b:Author>
    </b:Author>
    <b:Title>Кинетический изотопный эффект в реакции окисления эфиров линолевой кислоты в мицеллах.</b:Title>
    <b:PeriodicalTitle>Химическая физика</b:PeriodicalTitle>
    <b:Year>2018</b:Year>
    <b:Volume>37</b:Volume>
    <b:Issue>11</b:Issue>
    <b:Pages>25–30</b:Pages>
    <b:RefOrder>5</b:RefOrder>
  </b:Source>
  <b:Source>
    <b:Tag>Yam84</b:Tag>
    <b:SourceType>ArticleInAPeriodical</b:SourceType>
    <b:Guid>{F129E412-FF1B-419A-AE02-F7D2CEE5E2AF}</b:Guid>
    <b:Author>
      <b:Author>
        <b:Corporate>Yamamoto Y, Haga S, Niki E, Kamiya Y.</b:Corporate>
      </b:Author>
    </b:Author>
    <b:Title>Oxidation of lipids. 5. Oxidation of methyl linoleate in aqueous dispersion</b:Title>
    <b:PeriodicalTitle>Bull. Chem. Soc. Jpn</b:PeriodicalTitle>
    <b:Year>1984</b:Year>
    <b:Pages>1260-1264</b:Pages>
    <b:Volume>57</b:Volume>
    <b:Issue>5</b:Issue>
    <b:RefOrder>6</b:RefOrder>
  </b:Source>
  <b:Source>
    <b:Tag>Яку111</b:Tag>
    <b:SourceType>ArticleInAPeriodical</b:SourceType>
    <b:Guid>{F16391C8-7FF1-4D79-82BD-8098EA22F973}</b:Guid>
    <b:Author>
      <b:Author>
        <b:Corporate>Якупова Л.Р., Проскуряков С.Г., Зарипов Р.Н., Рамеев Ш.Р., Сафиуллин Р.Л.</b:Corporate>
      </b:Author>
    </b:Author>
    <b:Title>Измерение скорости реакций, протекающих с газопоглощением или газовыделением</b:Title>
    <b:PeriodicalTitle>Бутлеровские сообщения</b:PeriodicalTitle>
    <b:Year>2011</b:Year>
    <b:Volume>28</b:Volume>
    <b:Issue>19</b:Issue>
    <b:Pages>71-78</b:Pages>
    <b:RefOrder>8</b:RefOrder>
  </b:Source>
  <b:Source>
    <b:Tag>Зар15</b:Tag>
    <b:SourceType>ArticleInAPeriodical</b:SourceType>
    <b:Guid>{57E572FE-13C1-4146-9068-650427C915C1}</b:Guid>
    <b:Author>
      <b:Author>
        <b:Corporate>Зарипов Р.Н., Сафиуллин Р.Л., Рамеев Ш.Р., Ахунов И.Р., Комиссаров В.Д.</b:Corporate>
      </b:Author>
    </b:Author>
    <b:JournalName>Кинетика и катализ.</b:JournalName>
    <b:Year>1990</b:Year>
    <b:Pages>1086-1091</b:Pages>
    <b:PeriodicalTitle>Кинетика и катализ</b:PeriodicalTitle>
    <b:Title>Кинетика и механизм начального периода сульфоокисления н-декана</b:Title>
    <b:Volume>31</b:Volume>
    <b:Issue>5</b:Issue>
    <b:RefOrder>9</b:RefOrder>
  </b:Source>
  <b:Source>
    <b:Tag>Los</b:Tag>
    <b:SourceType>ArticleInAPeriodical</b:SourceType>
    <b:Guid>{B053783A-7AC6-4756-A6BB-499DF113DA65}</b:Guid>
    <b:Author>
      <b:Author>
        <b:Corporate>Loshadkin D., Roginsky V., Pliss E.</b:Corporate>
      </b:Author>
    </b:Author>
    <b:PeriodicalTitle>Int. J. Chem. Kin.</b:PeriodicalTitle>
    <b:Pages>162-171</b:Pages>
    <b:Title>Substituted p-Hydroquinones as a Chain-Breaking Antioxidant During the Oxidation of Styrene</b:Title>
    <b:Year>2002</b:Year>
    <b:Volume>34</b:Volume>
    <b:Issue>3</b:Issue>
    <b:RefOrder>14</b:RefOrder>
  </b:Source>
  <b:Source>
    <b:Tag>Цеп621</b:Tag>
    <b:SourceType>ArticleInAPeriodical</b:SourceType>
    <b:Guid>{04C494DF-FAFA-490A-8DAA-658551EE31D0}</b:Guid>
    <b:Title>Константы скоростей элементарных реакций процесса окисления этилбензола молекулярным кислородом</b:Title>
    <b:PeriodicalTitle>Кинетика и катализ</b:PeriodicalTitle>
    <b:Year>1962</b:Year>
    <b:Pages>870-876</b:Pages>
    <b:Author>
      <b:Author>
        <b:Corporate>Цепалов В.Ф., Шляпинтох В.Я.</b:Corporate>
      </b:Author>
    </b:Author>
    <b:Volume>3</b:Volume>
    <b:Issue>6</b:Issue>
    <b:RefOrder>21</b:RefOrder>
  </b:Source>
</b:Sources>
</file>

<file path=customXml/itemProps1.xml><?xml version="1.0" encoding="utf-8"?>
<ds:datastoreItem xmlns:ds="http://schemas.openxmlformats.org/officeDocument/2006/customXml" ds:itemID="{E62D55EE-6D70-4AD1-9ABC-613962F9C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2193</CharactersWithSpaces>
  <SharedDoc>false</SharedDoc>
  <HLinks>
    <vt:vector size="6" baseType="variant">
      <vt:variant>
        <vt:i4>4063244</vt:i4>
      </vt:variant>
      <vt:variant>
        <vt:i4>0</vt:i4>
      </vt:variant>
      <vt:variant>
        <vt:i4>0</vt:i4>
      </vt:variant>
      <vt:variant>
        <vt:i4>5</vt:i4>
      </vt:variant>
      <vt:variant>
        <vt:lpwstr>mailto:almazmigranov@yandex.ru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sultanov</dc:creator>
  <cp:lastModifiedBy>Maria</cp:lastModifiedBy>
  <cp:revision>10</cp:revision>
  <cp:lastPrinted>2022-03-03T06:15:00Z</cp:lastPrinted>
  <dcterms:created xsi:type="dcterms:W3CDTF">2024-02-28T10:10:00Z</dcterms:created>
  <dcterms:modified xsi:type="dcterms:W3CDTF">2024-04-19T12:07:00Z</dcterms:modified>
</cp:coreProperties>
</file>