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63" w:rsidRPr="00CB56F7" w:rsidRDefault="000968A8" w:rsidP="00F31B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Сорбция</w:t>
      </w:r>
      <w:r w:rsidR="00676AC8">
        <w:rPr>
          <w:b/>
          <w:color w:val="000000"/>
        </w:rPr>
        <w:t xml:space="preserve"> цезия и</w:t>
      </w:r>
      <w:r>
        <w:rPr>
          <w:b/>
          <w:color w:val="000000"/>
        </w:rPr>
        <w:t xml:space="preserve"> стронция на бентони</w:t>
      </w:r>
      <w:r w:rsidR="006A0BB5">
        <w:rPr>
          <w:b/>
          <w:color w:val="000000"/>
        </w:rPr>
        <w:t>товых глинах различных месторождений</w:t>
      </w:r>
    </w:p>
    <w:p w:rsidR="00130241" w:rsidRDefault="00F31B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Тонян И.Р.</w:t>
      </w:r>
      <w:r w:rsidR="00EB1F49">
        <w:rPr>
          <w:b/>
          <w:i/>
          <w:color w:val="000000"/>
        </w:rPr>
        <w:t xml:space="preserve"> </w:t>
      </w:r>
    </w:p>
    <w:p w:rsidR="00130241" w:rsidRDefault="00B617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1 г/о</w:t>
      </w:r>
      <w:r w:rsidR="00EB1F49"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CD00B1" w:rsidRDefault="00EB1F49" w:rsidP="00F31B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F31B63" w:rsidRPr="000F047E">
        <w:rPr>
          <w:i/>
          <w:color w:val="000000"/>
          <w:u w:val="single"/>
        </w:rPr>
        <w:t>i</w:t>
      </w:r>
      <w:r w:rsidR="00F31B63" w:rsidRPr="000F047E">
        <w:rPr>
          <w:i/>
          <w:color w:val="000000"/>
          <w:u w:val="single"/>
          <w:lang w:val="en-US"/>
        </w:rPr>
        <w:t>ton</w:t>
      </w:r>
      <w:r w:rsidR="00F31B63" w:rsidRPr="000F047E">
        <w:rPr>
          <w:i/>
          <w:color w:val="000000"/>
          <w:u w:val="single"/>
        </w:rPr>
        <w:t>612@yandex.ru</w:t>
      </w:r>
      <w:r>
        <w:rPr>
          <w:i/>
          <w:color w:val="000000"/>
        </w:rPr>
        <w:t xml:space="preserve"> </w:t>
      </w:r>
    </w:p>
    <w:p w:rsidR="0054082C" w:rsidRDefault="0054082C" w:rsidP="00F31B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E9531C" w:rsidRPr="00EE1019" w:rsidRDefault="00E9531C" w:rsidP="006A3014">
      <w:pPr>
        <w:pStyle w:val="aa"/>
        <w:spacing w:after="0"/>
        <w:ind w:firstLine="397"/>
      </w:pPr>
      <w:r w:rsidRPr="00EE1019">
        <w:t>Захоронения высокоактивных радиоактивных отходов (ВАО) предусматрива</w:t>
      </w:r>
      <w:r w:rsidR="00F372F0" w:rsidRPr="00EE1019">
        <w:t>ю</w:t>
      </w:r>
      <w:r w:rsidRPr="00EE1019">
        <w:t>т наличие защитн</w:t>
      </w:r>
      <w:r w:rsidR="000968A8" w:rsidRPr="00EE1019">
        <w:t>ых</w:t>
      </w:r>
      <w:r w:rsidRPr="00EE1019">
        <w:t xml:space="preserve"> инженерных барьерных систем, предназначенных для обеспечения безопасности хранилища на сотни тысяч лет. </w:t>
      </w:r>
      <w:r w:rsidR="000968A8" w:rsidRPr="00EE1019">
        <w:t xml:space="preserve">В качестве </w:t>
      </w:r>
      <w:r w:rsidR="00CE1C3E">
        <w:t>одного из барьеров</w:t>
      </w:r>
      <w:r w:rsidR="000968A8" w:rsidRPr="00EE1019">
        <w:t xml:space="preserve"> </w:t>
      </w:r>
      <w:r w:rsidRPr="00EE1019">
        <w:t xml:space="preserve">предполагается использовать </w:t>
      </w:r>
      <w:proofErr w:type="spellStart"/>
      <w:r w:rsidRPr="00EE1019">
        <w:t>бентонитовые</w:t>
      </w:r>
      <w:proofErr w:type="spellEnd"/>
      <w:r w:rsidRPr="00EE1019">
        <w:t xml:space="preserve"> </w:t>
      </w:r>
      <w:r w:rsidR="000968A8" w:rsidRPr="00EE1019">
        <w:t>глины</w:t>
      </w:r>
      <w:r w:rsidRPr="00EE1019">
        <w:t>, которые позволяют предотвратить поступление радионуклидов в подземные воды</w:t>
      </w:r>
      <w:r w:rsidR="00CE1C3E">
        <w:t>. В</w:t>
      </w:r>
      <w:r w:rsidR="00CE1C3E" w:rsidRPr="00EE1019">
        <w:t>ысоко</w:t>
      </w:r>
      <w:r w:rsidR="00CE1C3E">
        <w:t>е</w:t>
      </w:r>
      <w:r w:rsidR="00CE1C3E" w:rsidRPr="00EE1019">
        <w:t xml:space="preserve"> содержани</w:t>
      </w:r>
      <w:r w:rsidR="00CE1C3E">
        <w:t>е</w:t>
      </w:r>
      <w:r w:rsidR="00CE1C3E" w:rsidRPr="00EE1019">
        <w:t xml:space="preserve"> в бентоните минералов подгруппы смектита </w:t>
      </w:r>
      <w:r w:rsidR="00A35F62" w:rsidRPr="00EE1019">
        <w:fldChar w:fldCharType="begin" w:fldLock="1"/>
      </w:r>
      <w:r w:rsidR="00CE1C3E" w:rsidRPr="00EE1019">
        <w:instrText>ADDIN CSL_CITATION {"citationItems":[{"id":"ITEM-1","itemData":{"abstract":"В статье рассмотрены механизмы поведения цезия в структу -ре монтмориллонита, который является основным компонентом инженерных барьерных систем при захоронении высокоактивных твердых радиоактивных отходов. Показано, что катионы 137 Cs и 133 Cs довольно прочно фиксируются в структуре бентонитовых глин за счет образования связей Cs–O тетраэдрической сетки монтмориллонита и теряют способность к десорбции. Физико-химические и физико-механические свойства бентонитов после насыщения цезием в значительной степени видоизменяются, но сохраняют стабильность даже при высокой концентрации цезия в растворе","author":[{"dropping-particle":"","family":"Крупская В.В.","given":"","non-dropping-particle":"","parse-names":false,"suffix":""},{"dropping-particle":"","family":"Закусин С.В.","given":"","non-dropping-particle":"","parse-names":false,"suffix":""},{"dropping-particle":"","family":"Тюпина Е.А.","given":"","non-dropping-particle":"","parse-names":false,"suffix":""},{"dropping-particle":"","family":"Чернов М.С.","given":"","non-dropping-particle":"","parse-names":false,"suffix":""}],"container-title":"Горный Журнал","id":"ITEM-1","issued":{"date-parts":[["2016"]]},"page":"81-87","title":"Особенности сорбции цезия и бентонитовых барьерных системах при захоронении твердых радиоактивных отходов","type":"article-journal","volume":"0009"},"uris":["http://www.mendeley.com/documents/?uuid=df75bdc9-645b-4eab-91a3-f9fdbd718555"]}],"mendeley":{"formattedCitation":"[1]","plainTextFormattedCitation":"[1]"},"properties":{"noteIndex":0},"schema":"https://github.com/citation-style-language/schema/raw/master/csl-citation.json"}</w:instrText>
      </w:r>
      <w:r w:rsidR="00A35F62" w:rsidRPr="00EE1019">
        <w:fldChar w:fldCharType="separate"/>
      </w:r>
      <w:r w:rsidR="00CE1C3E" w:rsidRPr="00EE1019">
        <w:rPr>
          <w:noProof/>
        </w:rPr>
        <w:t>[1]</w:t>
      </w:r>
      <w:r w:rsidR="00A35F62" w:rsidRPr="00EE1019">
        <w:fldChar w:fldCharType="end"/>
      </w:r>
      <w:r w:rsidR="00CE1C3E">
        <w:t xml:space="preserve"> обуславливает их</w:t>
      </w:r>
      <w:r w:rsidRPr="00EE1019">
        <w:t xml:space="preserve"> высок</w:t>
      </w:r>
      <w:r w:rsidR="00CE1C3E">
        <w:t>ую</w:t>
      </w:r>
      <w:r w:rsidRPr="00EE1019">
        <w:t xml:space="preserve"> сорбци</w:t>
      </w:r>
      <w:r w:rsidR="00CE1C3E">
        <w:t>онную способность</w:t>
      </w:r>
      <w:r w:rsidRPr="00EE1019">
        <w:t xml:space="preserve"> и низк</w:t>
      </w:r>
      <w:r w:rsidR="00CE1C3E">
        <w:t>ую</w:t>
      </w:r>
      <w:r w:rsidRPr="00EE1019">
        <w:t xml:space="preserve"> водопроницаемост</w:t>
      </w:r>
      <w:r w:rsidR="00CE1C3E">
        <w:t>ью</w:t>
      </w:r>
      <w:r w:rsidR="00A70066" w:rsidRPr="00EE1019">
        <w:t>,</w:t>
      </w:r>
      <w:r w:rsidRPr="00EE1019">
        <w:t xml:space="preserve"> а также</w:t>
      </w:r>
      <w:r w:rsidR="00CE1C3E">
        <w:t xml:space="preserve"> способность</w:t>
      </w:r>
      <w:r w:rsidRPr="00EE1019">
        <w:t xml:space="preserve"> запечатать открытые трещины и крупные поры за счет высокой набухаемости</w:t>
      </w:r>
      <w:r w:rsidR="00CE1C3E">
        <w:t>.</w:t>
      </w:r>
      <w:r w:rsidR="006A3014" w:rsidRPr="006A3014">
        <w:rPr>
          <w:kern w:val="28"/>
        </w:rPr>
        <w:t xml:space="preserve"> </w:t>
      </w:r>
      <w:r w:rsidR="006A3014">
        <w:rPr>
          <w:kern w:val="28"/>
        </w:rPr>
        <w:t xml:space="preserve">Повышение температуры на границе контейнера с ВАО и барьером обуславливает необходимость изучения сорбции при повышенной температуре. </w:t>
      </w:r>
    </w:p>
    <w:p w:rsidR="006F7248" w:rsidRPr="00EE1019" w:rsidRDefault="006F7248" w:rsidP="00EE1019">
      <w:pPr>
        <w:pStyle w:val="aa"/>
        <w:spacing w:after="0"/>
        <w:ind w:firstLine="397"/>
      </w:pPr>
      <w:r w:rsidRPr="00EE1019">
        <w:t>В работе был</w:t>
      </w:r>
      <w:r w:rsidR="00616C70" w:rsidRPr="00EE1019">
        <w:t>о изучено взаимодействие</w:t>
      </w:r>
      <w:r w:rsidR="005046EC" w:rsidRPr="00EE1019">
        <w:t xml:space="preserve"> </w:t>
      </w:r>
      <w:r w:rsidR="004130DC" w:rsidRPr="00EE1019">
        <w:t>цезия</w:t>
      </w:r>
      <w:r w:rsidR="0095667E" w:rsidRPr="00EE1019">
        <w:t xml:space="preserve"> и </w:t>
      </w:r>
      <w:r w:rsidR="004130DC" w:rsidRPr="00EE1019">
        <w:t>стронция</w:t>
      </w:r>
      <w:r w:rsidR="00616C70" w:rsidRPr="00EE1019">
        <w:t xml:space="preserve"> с глинистыми минералами, а также факторы</w:t>
      </w:r>
      <w:r w:rsidR="00EC5CD1" w:rsidRPr="00EE1019">
        <w:t>,</w:t>
      </w:r>
      <w:r w:rsidR="00616C70" w:rsidRPr="00EE1019">
        <w:t xml:space="preserve"> влияющие на сорбцию: </w:t>
      </w:r>
      <w:r w:rsidR="00EC5CD1" w:rsidRPr="00EE1019">
        <w:t xml:space="preserve">минеральный состав образцов, концентрация радионуклида и состав раствора. Эксперименты проводились на образцах глин месторождений 10 Хутор, Таганское и </w:t>
      </w:r>
      <w:proofErr w:type="spellStart"/>
      <w:r w:rsidR="00EC5CD1" w:rsidRPr="00EE1019">
        <w:t>Кантатское</w:t>
      </w:r>
      <w:proofErr w:type="spellEnd"/>
      <w:r w:rsidR="00EC5CD1" w:rsidRPr="00EE1019">
        <w:t xml:space="preserve"> при температурах 25 и 75°C в широком диапазоне pH.</w:t>
      </w:r>
      <w:r w:rsidR="0095667E" w:rsidRPr="00EE1019">
        <w:t xml:space="preserve"> Полученные результаты легли в основу термодинамического моделирования. </w:t>
      </w:r>
    </w:p>
    <w:p w:rsidR="00FA3DFA" w:rsidRPr="00EE1019" w:rsidRDefault="0095667E" w:rsidP="00EE1019">
      <w:pPr>
        <w:pStyle w:val="aa"/>
        <w:spacing w:after="0"/>
        <w:ind w:firstLine="397"/>
      </w:pPr>
      <w:r w:rsidRPr="00EE1019">
        <w:t xml:space="preserve">Цезий </w:t>
      </w:r>
      <w:r w:rsidR="00FA3DFA" w:rsidRPr="00EE1019">
        <w:t>взаимодейству</w:t>
      </w:r>
      <w:r w:rsidR="00CE1C3E">
        <w:t>е</w:t>
      </w:r>
      <w:r w:rsidR="003B357D" w:rsidRPr="00EE1019">
        <w:t>т</w:t>
      </w:r>
      <w:r w:rsidR="00FA3DFA" w:rsidRPr="00EE1019">
        <w:t xml:space="preserve"> с глинистыми минералами по механизму ионного обмена</w:t>
      </w:r>
      <w:r w:rsidR="00CE1C3E">
        <w:t>, при котором</w:t>
      </w:r>
      <w:r w:rsidR="009E2BE5" w:rsidRPr="00EE1019">
        <w:t xml:space="preserve"> задействуются центры на базальной поверхности</w:t>
      </w:r>
      <w:r w:rsidR="00CE1C3E">
        <w:t xml:space="preserve"> минералов</w:t>
      </w:r>
      <w:r w:rsidR="009E2BE5" w:rsidRPr="00EE1019">
        <w:t>, в межслоевом пространстве, а также высокоселективны</w:t>
      </w:r>
      <w:r w:rsidR="00724EB3" w:rsidRPr="00EE1019">
        <w:t>е</w:t>
      </w:r>
      <w:r w:rsidR="009E2BE5" w:rsidRPr="00EE1019">
        <w:t xml:space="preserve"> центр</w:t>
      </w:r>
      <w:r w:rsidR="00724EB3" w:rsidRPr="00EE1019">
        <w:t>ы на</w:t>
      </w:r>
      <w:r w:rsidR="009E2BE5" w:rsidRPr="00EE1019">
        <w:t xml:space="preserve"> краях </w:t>
      </w:r>
      <w:proofErr w:type="spellStart"/>
      <w:r w:rsidR="009E2BE5" w:rsidRPr="00EE1019">
        <w:t>иллитовых</w:t>
      </w:r>
      <w:proofErr w:type="spellEnd"/>
      <w:r w:rsidR="009E2BE5" w:rsidRPr="00EE1019">
        <w:t xml:space="preserve"> включений. Для стронция</w:t>
      </w:r>
      <w:r w:rsidR="0054082C">
        <w:t>,</w:t>
      </w:r>
      <w:r w:rsidR="00CE1C3E">
        <w:t xml:space="preserve"> помимо взаимодействия по механизму ионного обмена</w:t>
      </w:r>
      <w:r w:rsidR="0054082C">
        <w:t>,</w:t>
      </w:r>
      <w:r w:rsidR="009E2BE5" w:rsidRPr="00EE1019">
        <w:t xml:space="preserve"> также наблюдается сорбция по механизму комплексообразования, протекающая </w:t>
      </w:r>
      <w:r w:rsidR="00C650D7" w:rsidRPr="00EE1019">
        <w:t xml:space="preserve">на краевых </w:t>
      </w:r>
      <w:proofErr w:type="spellStart"/>
      <w:r w:rsidR="00C650D7" w:rsidRPr="00EE1019">
        <w:t>силанольных</w:t>
      </w:r>
      <w:proofErr w:type="spellEnd"/>
      <w:r w:rsidR="00C650D7" w:rsidRPr="00EE1019">
        <w:t xml:space="preserve"> и </w:t>
      </w:r>
      <w:proofErr w:type="spellStart"/>
      <w:r w:rsidR="00C650D7" w:rsidRPr="00EE1019">
        <w:t>алюминольных</w:t>
      </w:r>
      <w:proofErr w:type="spellEnd"/>
      <w:r w:rsidR="00C650D7" w:rsidRPr="00EE1019">
        <w:t xml:space="preserve"> </w:t>
      </w:r>
      <w:r w:rsidR="009F14F5" w:rsidRPr="00EE1019">
        <w:t>центрах</w:t>
      </w:r>
      <w:r w:rsidR="00C650D7" w:rsidRPr="00EE1019">
        <w:t xml:space="preserve">. </w:t>
      </w:r>
    </w:p>
    <w:p w:rsidR="00CE1C3E" w:rsidRPr="00EE1019" w:rsidRDefault="00CE1C3E" w:rsidP="00CE1C3E">
      <w:pPr>
        <w:pStyle w:val="aa"/>
        <w:spacing w:after="0"/>
        <w:ind w:firstLine="397"/>
      </w:pPr>
      <w:r w:rsidRPr="00EE1019">
        <w:t xml:space="preserve">Изотермы сорбции </w:t>
      </w:r>
      <w:r>
        <w:t xml:space="preserve">цезия </w:t>
      </w:r>
      <w:r w:rsidRPr="00EE1019">
        <w:t xml:space="preserve">на исследуемых образцах показывают существование 2 плато на зависимости, характеризующие существование высокоселективных – края </w:t>
      </w:r>
      <w:proofErr w:type="spellStart"/>
      <w:r w:rsidRPr="00EE1019">
        <w:t>иллитовых</w:t>
      </w:r>
      <w:proofErr w:type="spellEnd"/>
      <w:r w:rsidRPr="00EE1019">
        <w:t xml:space="preserve"> включений – и </w:t>
      </w:r>
      <w:proofErr w:type="spellStart"/>
      <w:r w:rsidRPr="00EE1019">
        <w:t>низкоселективных</w:t>
      </w:r>
      <w:proofErr w:type="spellEnd"/>
      <w:r w:rsidRPr="00EE1019">
        <w:t xml:space="preserve"> – базальные поверхности – центров. Для зависимости стронция в широком диапазоне концентраций наблюдается одно плато, схожее с взаимодействием цезия на </w:t>
      </w:r>
      <w:proofErr w:type="spellStart"/>
      <w:r w:rsidRPr="00EE1019">
        <w:t>низкоселективных</w:t>
      </w:r>
      <w:proofErr w:type="spellEnd"/>
      <w:r w:rsidRPr="00EE1019">
        <w:t xml:space="preserve"> центрах. Концентрации сорбционных центров, полученные при термодинамическом моделировании сорбции цезия при помощи литературных констант были использованы для моделирования сорбции стронция и показали хорошую корреляцию с экспериментальными данными. </w:t>
      </w:r>
    </w:p>
    <w:p w:rsidR="002A4B94" w:rsidRPr="00EE1019" w:rsidRDefault="00330F95" w:rsidP="00EE1019">
      <w:pPr>
        <w:pStyle w:val="aa"/>
        <w:spacing w:after="0"/>
        <w:ind w:firstLine="397"/>
      </w:pPr>
      <w:r w:rsidRPr="00EE1019">
        <w:t xml:space="preserve">В работе показано влияние ионной силы на </w:t>
      </w:r>
      <w:r w:rsidR="00CE1C3E">
        <w:t>св</w:t>
      </w:r>
      <w:r w:rsidR="0054082C">
        <w:t>яз</w:t>
      </w:r>
      <w:r w:rsidR="00CE1C3E">
        <w:t>ывание</w:t>
      </w:r>
      <w:r w:rsidRPr="00EE1019">
        <w:t xml:space="preserve"> стронция. При повышении ионной силы, сорбция понижается, что подтверждает </w:t>
      </w:r>
      <w:r w:rsidR="007A6530" w:rsidRPr="00EE1019">
        <w:t>взаимодействие по механизму ионного</w:t>
      </w:r>
      <w:r w:rsidR="00CE1C3E">
        <w:t xml:space="preserve"> </w:t>
      </w:r>
      <w:r w:rsidR="007A6530" w:rsidRPr="00EE1019">
        <w:t xml:space="preserve">обмена. </w:t>
      </w:r>
      <w:r w:rsidR="009F14F5" w:rsidRPr="00EE1019">
        <w:t xml:space="preserve">Повышение температуры не вносит существенных изменений в сорбционные зависимости стронция. </w:t>
      </w:r>
      <w:r w:rsidR="00E17E2D" w:rsidRPr="00EE1019">
        <w:t>Однако, длительное выде</w:t>
      </w:r>
      <w:r w:rsidR="003A3007" w:rsidRPr="00EE1019">
        <w:t>рживание образцов при повышенной температуре снижает сорбцию в кислой среде за счет разрушения структуры глины</w:t>
      </w:r>
      <w:r w:rsidR="003970BB" w:rsidRPr="00EE1019">
        <w:t xml:space="preserve"> и высвобождения катионов, конкурирующих за сорбцию (</w:t>
      </w:r>
      <w:r w:rsidR="003970BB" w:rsidRPr="00EE1019">
        <w:rPr>
          <w:lang w:val="en-US"/>
        </w:rPr>
        <w:t>Ca</w:t>
      </w:r>
      <w:r w:rsidR="003970BB" w:rsidRPr="00EE1019">
        <w:rPr>
          <w:vertAlign w:val="superscript"/>
        </w:rPr>
        <w:t>2+</w:t>
      </w:r>
      <w:r w:rsidR="003970BB" w:rsidRPr="00EE1019">
        <w:t xml:space="preserve">, </w:t>
      </w:r>
      <w:r w:rsidR="003970BB" w:rsidRPr="00EE1019">
        <w:rPr>
          <w:lang w:val="en-US"/>
        </w:rPr>
        <w:t>Mg</w:t>
      </w:r>
      <w:r w:rsidR="003970BB" w:rsidRPr="00EE1019">
        <w:rPr>
          <w:vertAlign w:val="superscript"/>
        </w:rPr>
        <w:t>2+</w:t>
      </w:r>
      <w:r w:rsidR="003970BB" w:rsidRPr="00EE1019">
        <w:t>)</w:t>
      </w:r>
      <w:r w:rsidR="003A3007" w:rsidRPr="00EE1019">
        <w:t xml:space="preserve">. </w:t>
      </w:r>
    </w:p>
    <w:p w:rsidR="003A3007" w:rsidRDefault="003A3007" w:rsidP="00575D0A">
      <w:pPr>
        <w:pStyle w:val="aa"/>
        <w:spacing w:after="0"/>
        <w:ind w:firstLine="397"/>
        <w:jc w:val="center"/>
      </w:pPr>
    </w:p>
    <w:p w:rsidR="00575D0A" w:rsidRPr="0054082C" w:rsidRDefault="00575D0A" w:rsidP="00575D0A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</w:rPr>
      </w:pPr>
      <w:r w:rsidRPr="0054082C">
        <w:rPr>
          <w:i/>
          <w:iCs/>
          <w:color w:val="000000"/>
        </w:rPr>
        <w:t>Работа выполнена в рамках договора №56-НИР-ВНБ-2022-23</w:t>
      </w:r>
    </w:p>
    <w:p w:rsidR="00575D0A" w:rsidRPr="00616C70" w:rsidRDefault="00575D0A" w:rsidP="00575D0A">
      <w:pPr>
        <w:pStyle w:val="aa"/>
        <w:spacing w:after="0"/>
        <w:ind w:firstLine="397"/>
        <w:jc w:val="center"/>
      </w:pPr>
    </w:p>
    <w:p w:rsidR="00A469BD" w:rsidRPr="001F37BF" w:rsidRDefault="00AD7C3A" w:rsidP="00AD7C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</w:rPr>
      </w:pPr>
      <w:r w:rsidRPr="00AD7C3A">
        <w:rPr>
          <w:b/>
        </w:rPr>
        <w:t>Литература</w:t>
      </w:r>
    </w:p>
    <w:p w:rsidR="00D73202" w:rsidRPr="00D73202" w:rsidRDefault="00A35F62" w:rsidP="007868FB">
      <w:pPr>
        <w:widowControl w:val="0"/>
        <w:autoSpaceDE w:val="0"/>
        <w:autoSpaceDN w:val="0"/>
        <w:adjustRightInd w:val="0"/>
        <w:ind w:left="640" w:hanging="640"/>
        <w:rPr>
          <w:noProof/>
        </w:rPr>
      </w:pPr>
      <w:r>
        <w:rPr>
          <w:color w:val="000000"/>
        </w:rPr>
        <w:fldChar w:fldCharType="begin" w:fldLock="1"/>
      </w:r>
      <w:r w:rsidR="00AD7C3A" w:rsidRPr="008A592F">
        <w:rPr>
          <w:color w:val="000000"/>
          <w:lang w:val="en-US"/>
        </w:rPr>
        <w:instrText>ADDIN</w:instrText>
      </w:r>
      <w:r w:rsidR="00AD7C3A" w:rsidRPr="00CE1C3E">
        <w:rPr>
          <w:color w:val="000000"/>
        </w:rPr>
        <w:instrText xml:space="preserve"> </w:instrText>
      </w:r>
      <w:r w:rsidR="00AD7C3A" w:rsidRPr="008A592F">
        <w:rPr>
          <w:color w:val="000000"/>
          <w:lang w:val="en-US"/>
        </w:rPr>
        <w:instrText>Mendeley</w:instrText>
      </w:r>
      <w:r w:rsidR="00AD7C3A" w:rsidRPr="00CE1C3E">
        <w:rPr>
          <w:color w:val="000000"/>
        </w:rPr>
        <w:instrText xml:space="preserve"> </w:instrText>
      </w:r>
      <w:r w:rsidR="00AD7C3A" w:rsidRPr="008A592F">
        <w:rPr>
          <w:color w:val="000000"/>
          <w:lang w:val="en-US"/>
        </w:rPr>
        <w:instrText>Bibliography</w:instrText>
      </w:r>
      <w:r w:rsidR="00AD7C3A" w:rsidRPr="00CE1C3E">
        <w:rPr>
          <w:color w:val="000000"/>
        </w:rPr>
        <w:instrText xml:space="preserve"> </w:instrText>
      </w:r>
      <w:r w:rsidR="00AD7C3A" w:rsidRPr="008A592F">
        <w:rPr>
          <w:color w:val="000000"/>
          <w:lang w:val="en-US"/>
        </w:rPr>
        <w:instrText>CSL</w:instrText>
      </w:r>
      <w:r w:rsidR="00AD7C3A" w:rsidRPr="00CE1C3E">
        <w:rPr>
          <w:color w:val="000000"/>
        </w:rPr>
        <w:instrText>_</w:instrText>
      </w:r>
      <w:r w:rsidR="00AD7C3A" w:rsidRPr="008A592F">
        <w:rPr>
          <w:color w:val="000000"/>
          <w:lang w:val="en-US"/>
        </w:rPr>
        <w:instrText>BIBLIOGRAPHY</w:instrText>
      </w:r>
      <w:r w:rsidR="00AD7C3A" w:rsidRPr="00CE1C3E"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 w:rsidR="00D73202" w:rsidRPr="00D73202">
        <w:rPr>
          <w:noProof/>
        </w:rPr>
        <w:t>1.</w:t>
      </w:r>
      <w:r w:rsidR="00D73202" w:rsidRPr="00D73202">
        <w:rPr>
          <w:noProof/>
        </w:rPr>
        <w:tab/>
        <w:t>Крупская В.В. et al. Особенности сорбции цезия и бентонитовых барьерных системах при захоронении твердых радиоактивных отходов // Горный Журнал. 2016. Vol. 0009. P. 81–87.</w:t>
      </w:r>
    </w:p>
    <w:p w:rsidR="0054082C" w:rsidRDefault="00A35F62" w:rsidP="00575D0A">
      <w:pPr>
        <w:widowControl w:val="0"/>
        <w:autoSpaceDE w:val="0"/>
        <w:autoSpaceDN w:val="0"/>
        <w:adjustRightInd w:val="0"/>
        <w:rPr>
          <w:i/>
          <w:iCs/>
          <w:color w:val="000000"/>
        </w:rPr>
      </w:pPr>
      <w:r>
        <w:rPr>
          <w:color w:val="000000"/>
        </w:rPr>
        <w:fldChar w:fldCharType="end"/>
      </w:r>
    </w:p>
    <w:sectPr w:rsidR="0054082C" w:rsidSect="0096450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130241"/>
    <w:rsid w:val="00010FB4"/>
    <w:rsid w:val="00033F9F"/>
    <w:rsid w:val="00063966"/>
    <w:rsid w:val="00086081"/>
    <w:rsid w:val="000968A8"/>
    <w:rsid w:val="000A2041"/>
    <w:rsid w:val="000B3AE7"/>
    <w:rsid w:val="000C4F67"/>
    <w:rsid w:val="000C6C09"/>
    <w:rsid w:val="000F047E"/>
    <w:rsid w:val="000F5CEF"/>
    <w:rsid w:val="00101A1C"/>
    <w:rsid w:val="00103D50"/>
    <w:rsid w:val="00106375"/>
    <w:rsid w:val="00116478"/>
    <w:rsid w:val="0011790C"/>
    <w:rsid w:val="00130241"/>
    <w:rsid w:val="00172579"/>
    <w:rsid w:val="001E61C2"/>
    <w:rsid w:val="001F0493"/>
    <w:rsid w:val="001F37BF"/>
    <w:rsid w:val="001F3CCA"/>
    <w:rsid w:val="002264EE"/>
    <w:rsid w:val="0023307C"/>
    <w:rsid w:val="00234F85"/>
    <w:rsid w:val="002848A2"/>
    <w:rsid w:val="002916D1"/>
    <w:rsid w:val="002A4B94"/>
    <w:rsid w:val="002A59AD"/>
    <w:rsid w:val="002B31FD"/>
    <w:rsid w:val="002B513C"/>
    <w:rsid w:val="002D7CEF"/>
    <w:rsid w:val="0031361E"/>
    <w:rsid w:val="00330F95"/>
    <w:rsid w:val="00351A27"/>
    <w:rsid w:val="00355E19"/>
    <w:rsid w:val="00391C38"/>
    <w:rsid w:val="003970BB"/>
    <w:rsid w:val="003A3007"/>
    <w:rsid w:val="003A5A0E"/>
    <w:rsid w:val="003B357D"/>
    <w:rsid w:val="003B76D6"/>
    <w:rsid w:val="003E2FA9"/>
    <w:rsid w:val="003F2FEA"/>
    <w:rsid w:val="004130DC"/>
    <w:rsid w:val="00426313"/>
    <w:rsid w:val="004A26A3"/>
    <w:rsid w:val="004D07B1"/>
    <w:rsid w:val="004E48D1"/>
    <w:rsid w:val="004E4946"/>
    <w:rsid w:val="004F0EDF"/>
    <w:rsid w:val="005046EC"/>
    <w:rsid w:val="00522BF1"/>
    <w:rsid w:val="00523241"/>
    <w:rsid w:val="00523F5C"/>
    <w:rsid w:val="00535B66"/>
    <w:rsid w:val="0054082C"/>
    <w:rsid w:val="00575D0A"/>
    <w:rsid w:val="00590166"/>
    <w:rsid w:val="005A6E2C"/>
    <w:rsid w:val="005F449B"/>
    <w:rsid w:val="00616C70"/>
    <w:rsid w:val="00643F01"/>
    <w:rsid w:val="00672E64"/>
    <w:rsid w:val="00676AC8"/>
    <w:rsid w:val="006A0BB5"/>
    <w:rsid w:val="006A3014"/>
    <w:rsid w:val="006A5CFE"/>
    <w:rsid w:val="006C1D87"/>
    <w:rsid w:val="006D2020"/>
    <w:rsid w:val="006E7B09"/>
    <w:rsid w:val="006F7248"/>
    <w:rsid w:val="006F7A19"/>
    <w:rsid w:val="0072465C"/>
    <w:rsid w:val="00724EB3"/>
    <w:rsid w:val="00730DC4"/>
    <w:rsid w:val="007321BF"/>
    <w:rsid w:val="00760BD3"/>
    <w:rsid w:val="00775389"/>
    <w:rsid w:val="007868FB"/>
    <w:rsid w:val="007872A1"/>
    <w:rsid w:val="00797838"/>
    <w:rsid w:val="007A6530"/>
    <w:rsid w:val="007B485D"/>
    <w:rsid w:val="007C36D8"/>
    <w:rsid w:val="007F2744"/>
    <w:rsid w:val="008206A8"/>
    <w:rsid w:val="00826C84"/>
    <w:rsid w:val="00853A1B"/>
    <w:rsid w:val="008664A1"/>
    <w:rsid w:val="008931BE"/>
    <w:rsid w:val="008A592F"/>
    <w:rsid w:val="008D5812"/>
    <w:rsid w:val="008F420A"/>
    <w:rsid w:val="00921D45"/>
    <w:rsid w:val="00955446"/>
    <w:rsid w:val="0095667E"/>
    <w:rsid w:val="00961AE7"/>
    <w:rsid w:val="0096450C"/>
    <w:rsid w:val="00976142"/>
    <w:rsid w:val="009A33AC"/>
    <w:rsid w:val="009A66DB"/>
    <w:rsid w:val="009B2F80"/>
    <w:rsid w:val="009B3300"/>
    <w:rsid w:val="009C5B7D"/>
    <w:rsid w:val="009D777B"/>
    <w:rsid w:val="009E2BE5"/>
    <w:rsid w:val="009F14F5"/>
    <w:rsid w:val="009F3380"/>
    <w:rsid w:val="00A02163"/>
    <w:rsid w:val="00A314FE"/>
    <w:rsid w:val="00A3453D"/>
    <w:rsid w:val="00A35F62"/>
    <w:rsid w:val="00A452FD"/>
    <w:rsid w:val="00A469BD"/>
    <w:rsid w:val="00A46AC5"/>
    <w:rsid w:val="00A664B7"/>
    <w:rsid w:val="00A70066"/>
    <w:rsid w:val="00A7158F"/>
    <w:rsid w:val="00A727D7"/>
    <w:rsid w:val="00AB01B0"/>
    <w:rsid w:val="00AD7C3A"/>
    <w:rsid w:val="00AE39A4"/>
    <w:rsid w:val="00B201D3"/>
    <w:rsid w:val="00B61721"/>
    <w:rsid w:val="00BE2429"/>
    <w:rsid w:val="00BF36F8"/>
    <w:rsid w:val="00BF4622"/>
    <w:rsid w:val="00C065B0"/>
    <w:rsid w:val="00C138E9"/>
    <w:rsid w:val="00C253EB"/>
    <w:rsid w:val="00C54547"/>
    <w:rsid w:val="00C650D7"/>
    <w:rsid w:val="00C9768F"/>
    <w:rsid w:val="00CA1EDF"/>
    <w:rsid w:val="00CC0BF1"/>
    <w:rsid w:val="00CC151B"/>
    <w:rsid w:val="00CD00B1"/>
    <w:rsid w:val="00CE1C3E"/>
    <w:rsid w:val="00CF615A"/>
    <w:rsid w:val="00CF723A"/>
    <w:rsid w:val="00D22306"/>
    <w:rsid w:val="00D25062"/>
    <w:rsid w:val="00D42542"/>
    <w:rsid w:val="00D50ED2"/>
    <w:rsid w:val="00D73202"/>
    <w:rsid w:val="00D8121C"/>
    <w:rsid w:val="00D816C6"/>
    <w:rsid w:val="00D941C7"/>
    <w:rsid w:val="00DE1AE5"/>
    <w:rsid w:val="00DF0A17"/>
    <w:rsid w:val="00E17E2D"/>
    <w:rsid w:val="00E22189"/>
    <w:rsid w:val="00E23BCF"/>
    <w:rsid w:val="00E74069"/>
    <w:rsid w:val="00E9531C"/>
    <w:rsid w:val="00EA2FB3"/>
    <w:rsid w:val="00EB1F49"/>
    <w:rsid w:val="00EC5CD1"/>
    <w:rsid w:val="00ED031E"/>
    <w:rsid w:val="00EE1019"/>
    <w:rsid w:val="00F057DD"/>
    <w:rsid w:val="00F17F00"/>
    <w:rsid w:val="00F31B63"/>
    <w:rsid w:val="00F372F0"/>
    <w:rsid w:val="00F865B3"/>
    <w:rsid w:val="00FA3DFA"/>
    <w:rsid w:val="00FB1509"/>
    <w:rsid w:val="00FE604D"/>
    <w:rsid w:val="00FF1903"/>
    <w:rsid w:val="00FF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A1E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A1E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A1E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A1ED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A1E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A1E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A1E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A1ED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A1E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name w:val="ГЛИНЫ_Основной текст"/>
    <w:qFormat/>
    <w:rsid w:val="00EE1019"/>
    <w:pPr>
      <w:spacing w:after="120"/>
      <w:ind w:firstLine="567"/>
      <w:jc w:val="both"/>
    </w:pPr>
    <w:rPr>
      <w:rFonts w:ascii="Times New Roman" w:eastAsia="Times New Roman" w:hAnsi="Times New Roman" w:cs="Times New Roman"/>
      <w:sz w:val="24"/>
      <w:szCs w:val="22"/>
    </w:rPr>
  </w:style>
  <w:style w:type="paragraph" w:styleId="ab">
    <w:name w:val="Revision"/>
    <w:hidden/>
    <w:uiPriority w:val="99"/>
    <w:semiHidden/>
    <w:rsid w:val="00A664B7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664B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664B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664B7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664B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664B7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A592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A592F"/>
    <w:rPr>
      <w:rFonts w:ascii="Segoe UI" w:eastAsia="Times New Roman" w:hAnsi="Segoe UI" w:cs="Segoe UI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6D20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A3EDB-38F8-41BF-9CDA-FC8F5042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Ирина</cp:lastModifiedBy>
  <cp:revision>73</cp:revision>
  <dcterms:created xsi:type="dcterms:W3CDTF">2023-02-14T09:46:00Z</dcterms:created>
  <dcterms:modified xsi:type="dcterms:W3CDTF">2024-02-16T20:43:00Z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004df6a5-c63d-325b-8330-86bd9cb8a2ee</vt:lpwstr>
  </property>
  <property fmtid="{D5CDD505-2E9C-101B-9397-08002B2CF9AE}" pid="5" name="Mendeley Recent Style Id 0_1">
    <vt:lpwstr>http://www.zotero.org/styles/american-sociological-association</vt:lpwstr>
  </property>
  <property fmtid="{D5CDD505-2E9C-101B-9397-08002B2CF9AE}" pid="6" name="Mendeley Recent Style Name 0_1">
    <vt:lpwstr>American Sociological Association</vt:lpwstr>
  </property>
  <property fmtid="{D5CDD505-2E9C-101B-9397-08002B2CF9AE}" pid="7" name="Mendeley Recent Style Id 1_1">
    <vt:lpwstr>http://www.zotero.org/styles/chicago-author-date</vt:lpwstr>
  </property>
  <property fmtid="{D5CDD505-2E9C-101B-9397-08002B2CF9AE}" pid="8" name="Mendeley Recent Style Name 1_1">
    <vt:lpwstr>Chicago Manual of Style 17th edition (author-date)</vt:lpwstr>
  </property>
  <property fmtid="{D5CDD505-2E9C-101B-9397-08002B2CF9AE}" pid="9" name="Mendeley Recent Style Id 2_1">
    <vt:lpwstr>http://www.zotero.org/styles/harvard-cite-them-right</vt:lpwstr>
  </property>
  <property fmtid="{D5CDD505-2E9C-101B-9397-08002B2CF9AE}" pid="10" name="Mendeley Recent Style Name 2_1">
    <vt:lpwstr>Cite Them Right 10th edition - Harvard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http://www.zotero.org/styles/minerals</vt:lpwstr>
  </property>
  <property fmtid="{D5CDD505-2E9C-101B-9397-08002B2CF9AE}" pid="14" name="Mendeley Recent Style Name 4_1">
    <vt:lpwstr>Minerals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http://csl.mendeley.com/styles/478725591/disser-main</vt:lpwstr>
  </property>
  <property fmtid="{D5CDD505-2E9C-101B-9397-08002B2CF9AE}" pid="22" name="Mendeley Recent Style Name 8_1">
    <vt:lpwstr>Russian GOST R 7.0.5-2008 (disser-pril) - Alexander Polyakov</vt:lpwstr>
  </property>
  <property fmtid="{D5CDD505-2E9C-101B-9397-08002B2CF9AE}" pid="23" name="Mendeley Recent Style Id 9_1">
    <vt:lpwstr>http://www.zotero.org/styles/gost-r-7-0-5-2008-numeric</vt:lpwstr>
  </property>
  <property fmtid="{D5CDD505-2E9C-101B-9397-08002B2CF9AE}" pid="24" name="Mendeley Recent Style Name 9_1">
    <vt:lpwstr>Russian GOST R 7.0.5-2008 (numeric)</vt:lpwstr>
  </property>
</Properties>
</file>