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577DFBE" w:rsidR="00130241" w:rsidRPr="00FF4B5E" w:rsidRDefault="00FF4B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1-(</w:t>
      </w:r>
      <w:proofErr w:type="spellStart"/>
      <w:r>
        <w:rPr>
          <w:b/>
          <w:color w:val="000000"/>
        </w:rPr>
        <w:t>фосфонометил</w:t>
      </w:r>
      <w:proofErr w:type="spellEnd"/>
      <w:r>
        <w:rPr>
          <w:b/>
          <w:color w:val="000000"/>
        </w:rPr>
        <w:t xml:space="preserve">)-3-замещённых </w:t>
      </w:r>
      <w:proofErr w:type="spellStart"/>
      <w:r>
        <w:rPr>
          <w:b/>
          <w:color w:val="000000"/>
        </w:rPr>
        <w:t>гидантоинов</w:t>
      </w:r>
      <w:proofErr w:type="spellEnd"/>
    </w:p>
    <w:p w14:paraId="0912E0B6" w14:textId="125675F7" w:rsidR="004522AD" w:rsidRDefault="00FF4B5E" w:rsidP="00452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Швед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Климчук И.А</w:t>
      </w:r>
      <w:r w:rsidR="00992ABD" w:rsidRPr="00992ABD">
        <w:rPr>
          <w:b/>
          <w:i/>
          <w:color w:val="000000"/>
        </w:rPr>
        <w:t>.</w:t>
      </w:r>
      <w:r>
        <w:rPr>
          <w:b/>
          <w:i/>
          <w:color w:val="000000"/>
        </w:rPr>
        <w:t>, Финько А.В</w:t>
      </w:r>
      <w:r w:rsidR="00992ABD">
        <w:rPr>
          <w:b/>
          <w:i/>
          <w:color w:val="000000"/>
        </w:rPr>
        <w:t>.</w:t>
      </w:r>
      <w:r w:rsidR="004522AD" w:rsidRPr="000F7568">
        <w:rPr>
          <w:b/>
          <w:i/>
          <w:color w:val="000000"/>
        </w:rPr>
        <w:t xml:space="preserve">, </w:t>
      </w:r>
      <w:proofErr w:type="spellStart"/>
      <w:r w:rsidR="004522AD" w:rsidRPr="000F7568">
        <w:rPr>
          <w:b/>
          <w:i/>
          <w:color w:val="000000"/>
        </w:rPr>
        <w:t>Белоглазкина</w:t>
      </w:r>
      <w:proofErr w:type="spellEnd"/>
      <w:r w:rsidR="006E6A08" w:rsidRPr="006E6A08">
        <w:rPr>
          <w:b/>
          <w:i/>
          <w:color w:val="000000"/>
        </w:rPr>
        <w:t xml:space="preserve"> </w:t>
      </w:r>
      <w:r w:rsidR="006E6A08" w:rsidRPr="000F7568">
        <w:rPr>
          <w:b/>
          <w:i/>
          <w:color w:val="000000"/>
        </w:rPr>
        <w:t>Е. К</w:t>
      </w:r>
      <w:r w:rsidR="00992ABD" w:rsidRPr="00992ABD">
        <w:rPr>
          <w:b/>
          <w:i/>
          <w:color w:val="000000"/>
        </w:rPr>
        <w:t>.</w:t>
      </w:r>
      <w:r w:rsidR="00992ABD" w:rsidRPr="00992ABD">
        <w:rPr>
          <w:b/>
          <w:i/>
          <w:color w:val="000000"/>
          <w:vertAlign w:val="superscript"/>
        </w:rPr>
        <w:t xml:space="preserve"> </w:t>
      </w:r>
    </w:p>
    <w:p w14:paraId="00000003" w14:textId="7B63BAA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F4B5E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4" w14:textId="19F82DB8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2E68D806" w14:textId="03430AFE" w:rsidR="00FF1903" w:rsidRPr="00992ABD" w:rsidRDefault="00EB1F49" w:rsidP="00ED2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u w:val="single"/>
        </w:rPr>
      </w:pPr>
      <w:r w:rsidRPr="006D33DB">
        <w:rPr>
          <w:i/>
          <w:color w:val="000000"/>
          <w:lang w:val="en-US"/>
        </w:rPr>
        <w:t>E</w:t>
      </w:r>
      <w:r w:rsidR="003B76D6" w:rsidRPr="006E6A08">
        <w:rPr>
          <w:i/>
          <w:color w:val="000000"/>
        </w:rPr>
        <w:t>-</w:t>
      </w:r>
      <w:r w:rsidRPr="006D33DB">
        <w:rPr>
          <w:i/>
          <w:color w:val="000000"/>
          <w:lang w:val="en-US"/>
        </w:rPr>
        <w:t>mail</w:t>
      </w:r>
      <w:r w:rsidRPr="006E6A08">
        <w:rPr>
          <w:i/>
          <w:color w:val="000000"/>
        </w:rPr>
        <w:t xml:space="preserve">: </w:t>
      </w:r>
      <w:r w:rsidR="006D33DB" w:rsidRPr="00992ABD">
        <w:rPr>
          <w:i/>
          <w:iCs/>
          <w:u w:val="single"/>
          <w:lang w:val="en-US"/>
        </w:rPr>
        <w:t>dmitrii</w:t>
      </w:r>
      <w:r w:rsidR="006D33DB" w:rsidRPr="00992ABD">
        <w:rPr>
          <w:i/>
          <w:iCs/>
          <w:u w:val="single"/>
        </w:rPr>
        <w:t>.</w:t>
      </w:r>
      <w:r w:rsidR="006D33DB" w:rsidRPr="00992ABD">
        <w:rPr>
          <w:i/>
          <w:iCs/>
          <w:u w:val="single"/>
          <w:lang w:val="en-US"/>
        </w:rPr>
        <w:t>shved</w:t>
      </w:r>
      <w:r w:rsidR="006D33DB" w:rsidRPr="00992ABD">
        <w:rPr>
          <w:i/>
          <w:iCs/>
          <w:u w:val="single"/>
        </w:rPr>
        <w:t>@</w:t>
      </w:r>
      <w:r w:rsidR="006D33DB" w:rsidRPr="00992ABD">
        <w:rPr>
          <w:i/>
          <w:iCs/>
          <w:u w:val="single"/>
          <w:lang w:val="en-US"/>
        </w:rPr>
        <w:t>chemistry</w:t>
      </w:r>
      <w:r w:rsidR="006D33DB" w:rsidRPr="00992ABD">
        <w:rPr>
          <w:i/>
          <w:iCs/>
          <w:u w:val="single"/>
        </w:rPr>
        <w:t>.</w:t>
      </w:r>
      <w:r w:rsidR="006D33DB" w:rsidRPr="00992ABD">
        <w:rPr>
          <w:i/>
          <w:iCs/>
          <w:u w:val="single"/>
          <w:lang w:val="en-US"/>
        </w:rPr>
        <w:t>msu</w:t>
      </w:r>
      <w:r w:rsidR="006D33DB" w:rsidRPr="00992ABD">
        <w:rPr>
          <w:i/>
          <w:iCs/>
          <w:u w:val="single"/>
        </w:rPr>
        <w:t>.</w:t>
      </w:r>
      <w:r w:rsidR="006D33DB" w:rsidRPr="00992ABD">
        <w:rPr>
          <w:i/>
          <w:iCs/>
          <w:u w:val="single"/>
          <w:lang w:val="en-US"/>
        </w:rPr>
        <w:t>ru</w:t>
      </w:r>
    </w:p>
    <w:p w14:paraId="4AFDC3C2" w14:textId="79E30333" w:rsidR="00E22189" w:rsidRDefault="00FF4B5E" w:rsidP="00E03D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Известно, что соединения на основе </w:t>
      </w:r>
      <w:proofErr w:type="spellStart"/>
      <w:r>
        <w:rPr>
          <w:color w:val="000000"/>
        </w:rPr>
        <w:t>гидантоинов</w:t>
      </w:r>
      <w:proofErr w:type="spellEnd"/>
      <w:r>
        <w:rPr>
          <w:color w:val="000000"/>
        </w:rPr>
        <w:t xml:space="preserve"> проявляют сильную биологическую активность</w:t>
      </w:r>
      <w:r w:rsidR="00E03DC8">
        <w:rPr>
          <w:color w:val="000000"/>
        </w:rPr>
        <w:t xml:space="preserve"> </w:t>
      </w:r>
      <w:r w:rsidR="00E03DC8" w:rsidRPr="00E03DC8">
        <w:rPr>
          <w:color w:val="000000"/>
        </w:rPr>
        <w:t xml:space="preserve">[1]. </w:t>
      </w:r>
      <w:r w:rsidR="00E03DC8">
        <w:rPr>
          <w:color w:val="000000"/>
        </w:rPr>
        <w:t>В то же время коммерчески доступный препарат «</w:t>
      </w:r>
      <w:r w:rsidR="00E03DC8">
        <w:rPr>
          <w:color w:val="000000"/>
          <w:lang w:val="en-US"/>
        </w:rPr>
        <w:t>Roundup</w:t>
      </w:r>
      <w:r w:rsidR="00E03DC8">
        <w:rPr>
          <w:color w:val="000000"/>
        </w:rPr>
        <w:t xml:space="preserve">» в качестве солей </w:t>
      </w:r>
      <w:proofErr w:type="spellStart"/>
      <w:r w:rsidR="00E03DC8">
        <w:rPr>
          <w:color w:val="000000"/>
        </w:rPr>
        <w:t>глифосата</w:t>
      </w:r>
      <w:proofErr w:type="spellEnd"/>
      <w:r w:rsidR="00E03DC8">
        <w:rPr>
          <w:color w:val="000000"/>
        </w:rPr>
        <w:t xml:space="preserve"> используется повсеместно в качестве гербицида</w:t>
      </w:r>
      <w:r w:rsidR="00E03DC8" w:rsidRPr="00E03DC8">
        <w:rPr>
          <w:color w:val="000000"/>
        </w:rPr>
        <w:t xml:space="preserve">. </w:t>
      </w:r>
      <w:r w:rsidR="00E03DC8">
        <w:rPr>
          <w:color w:val="000000"/>
        </w:rPr>
        <w:t xml:space="preserve">Анализ структуры </w:t>
      </w:r>
      <w:proofErr w:type="spellStart"/>
      <w:r w:rsidR="00E03DC8">
        <w:rPr>
          <w:color w:val="000000"/>
        </w:rPr>
        <w:t>гидантоина</w:t>
      </w:r>
      <w:proofErr w:type="spellEnd"/>
      <w:r w:rsidR="00E03DC8">
        <w:rPr>
          <w:color w:val="000000"/>
        </w:rPr>
        <w:t xml:space="preserve"> и </w:t>
      </w:r>
      <w:proofErr w:type="spellStart"/>
      <w:r w:rsidR="00E03DC8">
        <w:rPr>
          <w:color w:val="000000"/>
        </w:rPr>
        <w:t>глифосата</w:t>
      </w:r>
      <w:proofErr w:type="spellEnd"/>
      <w:r w:rsidR="00E03DC8">
        <w:rPr>
          <w:color w:val="000000"/>
        </w:rPr>
        <w:t xml:space="preserve"> позволяет предположить, что их комбинация может дать новый класс соединений с </w:t>
      </w:r>
      <w:r w:rsidR="00ED2AEB">
        <w:rPr>
          <w:color w:val="000000"/>
        </w:rPr>
        <w:t>биологической</w:t>
      </w:r>
      <w:r w:rsidR="00E03DC8">
        <w:rPr>
          <w:color w:val="000000"/>
        </w:rPr>
        <w:t xml:space="preserve"> активностью.</w:t>
      </w:r>
    </w:p>
    <w:p w14:paraId="611E7D67" w14:textId="77777777" w:rsidR="00A2600E" w:rsidRDefault="00A2600E" w:rsidP="00E03D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28844CE" w14:textId="6D5C76A1" w:rsidR="00A2600E" w:rsidRDefault="00100618" w:rsidP="00A26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746E162" wp14:editId="1E23AE85">
            <wp:extent cx="5017324" cy="981283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478" cy="99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DD325" w14:textId="11266E24" w:rsidR="00A2600E" w:rsidRDefault="00ED2AEB" w:rsidP="00E03D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Схема</w:t>
      </w:r>
      <w:r w:rsidR="00A2600E">
        <w:rPr>
          <w:color w:val="000000"/>
        </w:rPr>
        <w:t xml:space="preserve"> 1. Модификация </w:t>
      </w:r>
      <w:proofErr w:type="spellStart"/>
      <w:r w:rsidR="00A2600E">
        <w:rPr>
          <w:color w:val="000000"/>
        </w:rPr>
        <w:t>гидантоинов</w:t>
      </w:r>
      <w:proofErr w:type="spellEnd"/>
      <w:r w:rsidR="00A2600E">
        <w:rPr>
          <w:color w:val="000000"/>
        </w:rPr>
        <w:t xml:space="preserve"> для получения </w:t>
      </w:r>
      <w:proofErr w:type="spellStart"/>
      <w:r w:rsidR="00A2600E">
        <w:rPr>
          <w:color w:val="000000"/>
        </w:rPr>
        <w:t>глифосатоподобных</w:t>
      </w:r>
      <w:proofErr w:type="spellEnd"/>
      <w:r w:rsidR="00A2600E">
        <w:rPr>
          <w:color w:val="000000"/>
        </w:rPr>
        <w:t xml:space="preserve"> препаратов</w:t>
      </w:r>
    </w:p>
    <w:p w14:paraId="297F5EB0" w14:textId="77777777" w:rsidR="00A2600E" w:rsidRDefault="00A2600E" w:rsidP="00E03D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677AA11" w14:textId="146A3981" w:rsidR="00065618" w:rsidRPr="00A2600E" w:rsidRDefault="00E03DC8" w:rsidP="00E03D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Ранее подобные соединения получались либо замыканием </w:t>
      </w:r>
      <w:proofErr w:type="spellStart"/>
      <w:r>
        <w:rPr>
          <w:color w:val="000000"/>
        </w:rPr>
        <w:t>гидантоинового</w:t>
      </w:r>
      <w:proofErr w:type="spellEnd"/>
      <w:r>
        <w:rPr>
          <w:color w:val="000000"/>
        </w:rPr>
        <w:t xml:space="preserve"> фрагмента с низкими выходами </w:t>
      </w:r>
      <w:r w:rsidRPr="00E03DC8">
        <w:rPr>
          <w:color w:val="000000"/>
        </w:rPr>
        <w:t xml:space="preserve">[2], </w:t>
      </w:r>
      <w:r>
        <w:rPr>
          <w:color w:val="000000"/>
        </w:rPr>
        <w:t xml:space="preserve">либо </w:t>
      </w:r>
      <w:proofErr w:type="spellStart"/>
      <w:r>
        <w:rPr>
          <w:color w:val="000000"/>
        </w:rPr>
        <w:t>фосфонометилированием</w:t>
      </w:r>
      <w:proofErr w:type="spellEnd"/>
      <w:r>
        <w:rPr>
          <w:color w:val="000000"/>
        </w:rPr>
        <w:t xml:space="preserve"> 5,5</w:t>
      </w:r>
      <w:r w:rsidRPr="00E03DC8">
        <w:rPr>
          <w:color w:val="000000"/>
        </w:rPr>
        <w:t>’</w:t>
      </w:r>
      <w:r>
        <w:rPr>
          <w:color w:val="000000"/>
        </w:rPr>
        <w:t xml:space="preserve">-дизамещённых доступных 3-замещённых </w:t>
      </w:r>
      <w:proofErr w:type="spellStart"/>
      <w:r>
        <w:rPr>
          <w:color w:val="000000"/>
        </w:rPr>
        <w:t>гидантоинов</w:t>
      </w:r>
      <w:proofErr w:type="spellEnd"/>
      <w:r>
        <w:rPr>
          <w:color w:val="000000"/>
        </w:rPr>
        <w:t xml:space="preserve"> </w:t>
      </w:r>
      <w:r w:rsidRPr="00E03DC8">
        <w:rPr>
          <w:color w:val="000000"/>
        </w:rPr>
        <w:t>[3].</w:t>
      </w:r>
      <w:r>
        <w:rPr>
          <w:color w:val="000000"/>
        </w:rPr>
        <w:t xml:space="preserve"> В данной работе было показано, что </w:t>
      </w:r>
      <w:r w:rsidR="00ED2AEB">
        <w:rPr>
          <w:color w:val="000000"/>
        </w:rPr>
        <w:t>5,5</w:t>
      </w:r>
      <w:r w:rsidR="00ED2AEB" w:rsidRPr="00ED2AEB">
        <w:rPr>
          <w:color w:val="000000"/>
        </w:rPr>
        <w:t>’</w:t>
      </w:r>
      <w:r w:rsidR="00ED2AEB">
        <w:rPr>
          <w:color w:val="000000"/>
        </w:rPr>
        <w:t>-</w:t>
      </w:r>
      <w:r w:rsidR="00904315">
        <w:rPr>
          <w:color w:val="000000"/>
        </w:rPr>
        <w:t xml:space="preserve">незамещённые </w:t>
      </w:r>
      <w:proofErr w:type="spellStart"/>
      <w:r w:rsidR="00904315">
        <w:rPr>
          <w:color w:val="000000"/>
        </w:rPr>
        <w:t>гидантоины</w:t>
      </w:r>
      <w:proofErr w:type="spellEnd"/>
      <w:r w:rsidR="00ED2AEB">
        <w:rPr>
          <w:color w:val="000000"/>
        </w:rPr>
        <w:t xml:space="preserve"> также</w:t>
      </w:r>
      <w:r w:rsidR="00904315">
        <w:rPr>
          <w:color w:val="000000"/>
        </w:rPr>
        <w:t xml:space="preserve"> </w:t>
      </w:r>
      <w:r w:rsidR="00ED2AEB">
        <w:rPr>
          <w:color w:val="000000"/>
        </w:rPr>
        <w:t>вступают в реакцию</w:t>
      </w:r>
      <w:r w:rsidR="00904315">
        <w:rPr>
          <w:color w:val="000000"/>
        </w:rPr>
        <w:t xml:space="preserve"> с </w:t>
      </w:r>
      <w:proofErr w:type="spellStart"/>
      <w:r w:rsidR="00904315">
        <w:rPr>
          <w:color w:val="000000"/>
        </w:rPr>
        <w:t>параформальдегидом</w:t>
      </w:r>
      <w:proofErr w:type="spellEnd"/>
      <w:r w:rsidR="00ED2AEB">
        <w:rPr>
          <w:color w:val="000000"/>
        </w:rPr>
        <w:t xml:space="preserve"> по незамещённому атому азота</w:t>
      </w:r>
      <w:r w:rsidR="00904315">
        <w:rPr>
          <w:color w:val="000000"/>
        </w:rPr>
        <w:t xml:space="preserve"> в присутствии уксусной кислоты, с последующим добавлением </w:t>
      </w:r>
      <w:r w:rsidR="00904315">
        <w:rPr>
          <w:color w:val="000000"/>
          <w:lang w:val="en-US"/>
        </w:rPr>
        <w:t>PCl</w:t>
      </w:r>
      <w:r w:rsidR="00904315" w:rsidRPr="00904315">
        <w:rPr>
          <w:color w:val="000000"/>
          <w:vertAlign w:val="subscript"/>
        </w:rPr>
        <w:t>3</w:t>
      </w:r>
      <w:r w:rsidR="00904315" w:rsidRPr="00904315">
        <w:rPr>
          <w:color w:val="000000"/>
        </w:rPr>
        <w:t xml:space="preserve"> </w:t>
      </w:r>
      <w:r w:rsidR="00904315">
        <w:rPr>
          <w:color w:val="000000"/>
        </w:rPr>
        <w:t>и воды</w:t>
      </w:r>
      <w:r w:rsidR="00ED2AEB">
        <w:rPr>
          <w:color w:val="000000"/>
        </w:rPr>
        <w:t xml:space="preserve">. </w:t>
      </w:r>
      <w:r w:rsidR="00A2600E">
        <w:rPr>
          <w:color w:val="000000"/>
        </w:rPr>
        <w:t xml:space="preserve">Механизм </w:t>
      </w:r>
      <w:proofErr w:type="spellStart"/>
      <w:r w:rsidR="00A2600E">
        <w:rPr>
          <w:color w:val="000000"/>
        </w:rPr>
        <w:t>фосфонометилирования</w:t>
      </w:r>
      <w:proofErr w:type="spellEnd"/>
      <w:r w:rsidR="00A2600E">
        <w:rPr>
          <w:color w:val="000000"/>
        </w:rPr>
        <w:t xml:space="preserve"> включает в себя образование </w:t>
      </w:r>
      <w:proofErr w:type="spellStart"/>
      <w:r w:rsidR="00A2600E">
        <w:rPr>
          <w:color w:val="000000"/>
        </w:rPr>
        <w:t>иминиевой</w:t>
      </w:r>
      <w:proofErr w:type="spellEnd"/>
      <w:r w:rsidR="00A2600E">
        <w:rPr>
          <w:color w:val="000000"/>
        </w:rPr>
        <w:t xml:space="preserve"> соли, к которой затем присоединяется </w:t>
      </w:r>
      <w:r w:rsidR="00A2600E">
        <w:rPr>
          <w:color w:val="000000"/>
          <w:lang w:val="en-US"/>
        </w:rPr>
        <w:t>PCl</w:t>
      </w:r>
      <w:r w:rsidR="00A2600E" w:rsidRPr="00904315">
        <w:rPr>
          <w:color w:val="000000"/>
          <w:vertAlign w:val="subscript"/>
        </w:rPr>
        <w:t>3</w:t>
      </w:r>
      <w:r w:rsidR="00A2600E">
        <w:rPr>
          <w:color w:val="000000"/>
        </w:rPr>
        <w:t xml:space="preserve">. </w:t>
      </w:r>
    </w:p>
    <w:p w14:paraId="134EE5B8" w14:textId="201F7CBE" w:rsidR="00E03DC8" w:rsidRDefault="00E03DC8" w:rsidP="00E03D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794106FA" w14:textId="22F46827" w:rsidR="00A2600E" w:rsidRDefault="00100618" w:rsidP="00A26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</w:rPr>
        <w:drawing>
          <wp:inline distT="0" distB="0" distL="0" distR="0" wp14:anchorId="4630E98B" wp14:editId="3AC91EC4">
            <wp:extent cx="4821382" cy="2032625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389" cy="205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6CB75" w14:textId="77777777" w:rsidR="00A2600E" w:rsidRDefault="00A2600E" w:rsidP="00A26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</w:p>
    <w:p w14:paraId="230CB4F6" w14:textId="2D9330A4" w:rsidR="00A2600E" w:rsidRDefault="00ED2AEB" w:rsidP="00A26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t>Схема</w:t>
      </w:r>
      <w:r w:rsidR="00A2600E">
        <w:t xml:space="preserve"> 2. </w:t>
      </w:r>
      <w:r>
        <w:t>Синтез целевых 1-фосфонометил-гидантоинов</w:t>
      </w:r>
    </w:p>
    <w:p w14:paraId="29EA6488" w14:textId="77777777" w:rsidR="00A2600E" w:rsidRPr="00A2600E" w:rsidRDefault="00A2600E" w:rsidP="00E03D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7517BC1F" w14:textId="78087DBE" w:rsidR="0040192A" w:rsidRDefault="0040192A" w:rsidP="004019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была выполнена при финансовой поддержке Российского Научного Фонда</w:t>
      </w:r>
      <w:r w:rsidRPr="0040192A">
        <w:rPr>
          <w:i/>
          <w:iCs/>
          <w:color w:val="000000"/>
        </w:rPr>
        <w:t xml:space="preserve"> (</w:t>
      </w:r>
      <w:r>
        <w:rPr>
          <w:i/>
          <w:iCs/>
          <w:color w:val="000000"/>
        </w:rPr>
        <w:t>гран</w:t>
      </w:r>
      <w:r w:rsidRPr="0040192A">
        <w:rPr>
          <w:i/>
          <w:iCs/>
          <w:color w:val="000000"/>
        </w:rPr>
        <w:t>т № 23-23-00207)</w:t>
      </w:r>
      <w:r>
        <w:rPr>
          <w:i/>
          <w:iCs/>
          <w:color w:val="000000"/>
        </w:rPr>
        <w:t>.</w:t>
      </w:r>
    </w:p>
    <w:p w14:paraId="0000000E" w14:textId="13E5E1E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141D80E8" w14:textId="4C654C86" w:rsidR="0040192A" w:rsidRDefault="0040192A" w:rsidP="0040192A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bCs/>
          <w:color w:val="000000"/>
          <w:lang w:val="en-US"/>
        </w:rPr>
      </w:pPr>
      <w:r w:rsidRPr="0040192A">
        <w:rPr>
          <w:bCs/>
          <w:color w:val="000000"/>
          <w:lang w:val="en-US"/>
        </w:rPr>
        <w:t>Cho, S., Kim, S.-H., &amp; Shin, D. Recent applications of hydantoin and thiohydantoin in medicinal chemistry</w:t>
      </w:r>
      <w:r w:rsidR="004724F3">
        <w:rPr>
          <w:bCs/>
          <w:color w:val="000000"/>
          <w:lang w:val="en-US"/>
        </w:rPr>
        <w:t xml:space="preserve"> //</w:t>
      </w:r>
      <w:r w:rsidRPr="0040192A">
        <w:rPr>
          <w:bCs/>
          <w:color w:val="000000"/>
          <w:lang w:val="en-US"/>
        </w:rPr>
        <w:t xml:space="preserve"> European Journal of Medicinal Chemistry</w:t>
      </w:r>
      <w:r w:rsidR="004724F3">
        <w:rPr>
          <w:bCs/>
          <w:color w:val="000000"/>
          <w:lang w:val="en-US"/>
        </w:rPr>
        <w:t xml:space="preserve">. </w:t>
      </w:r>
      <w:r w:rsidR="004724F3" w:rsidRPr="0040192A">
        <w:rPr>
          <w:bCs/>
          <w:color w:val="000000"/>
          <w:lang w:val="en-US"/>
        </w:rPr>
        <w:t>2018.</w:t>
      </w:r>
      <w:r w:rsidR="004724F3">
        <w:rPr>
          <w:bCs/>
          <w:color w:val="000000"/>
          <w:lang w:val="en-US"/>
        </w:rPr>
        <w:t xml:space="preserve"> </w:t>
      </w:r>
      <w:r w:rsidR="004724F3" w:rsidRPr="004724F3">
        <w:rPr>
          <w:bCs/>
          <w:color w:val="000000"/>
          <w:lang w:val="en-US"/>
        </w:rPr>
        <w:t>Vol</w:t>
      </w:r>
      <w:r w:rsidR="004724F3">
        <w:rPr>
          <w:bCs/>
          <w:color w:val="000000"/>
          <w:lang w:val="en-US"/>
        </w:rPr>
        <w:t>.</w:t>
      </w:r>
      <w:r w:rsidR="004724F3" w:rsidRPr="004724F3">
        <w:rPr>
          <w:bCs/>
          <w:color w:val="000000"/>
          <w:lang w:val="en-US"/>
        </w:rPr>
        <w:t xml:space="preserve"> 164</w:t>
      </w:r>
      <w:r w:rsidR="004724F3">
        <w:rPr>
          <w:bCs/>
          <w:color w:val="000000"/>
          <w:lang w:val="en-US"/>
        </w:rPr>
        <w:t>.</w:t>
      </w:r>
      <w:r w:rsidR="004724F3" w:rsidRPr="004724F3">
        <w:rPr>
          <w:bCs/>
          <w:color w:val="000000"/>
          <w:lang w:val="en-US"/>
        </w:rPr>
        <w:t xml:space="preserve"> P</w:t>
      </w:r>
      <w:r w:rsidR="004724F3">
        <w:rPr>
          <w:bCs/>
          <w:color w:val="000000"/>
          <w:lang w:val="en-US"/>
        </w:rPr>
        <w:t>.</w:t>
      </w:r>
      <w:r w:rsidR="004724F3" w:rsidRPr="004724F3">
        <w:rPr>
          <w:bCs/>
          <w:color w:val="000000"/>
          <w:lang w:val="en-US"/>
        </w:rPr>
        <w:t xml:space="preserve"> 517-545</w:t>
      </w:r>
      <w:r w:rsidR="004724F3">
        <w:rPr>
          <w:bCs/>
          <w:color w:val="000000"/>
          <w:lang w:val="en-US"/>
        </w:rPr>
        <w:t>.</w:t>
      </w:r>
    </w:p>
    <w:p w14:paraId="3486C755" w14:textId="39C97E5C" w:rsidR="00116478" w:rsidRPr="004724F3" w:rsidRDefault="004724F3" w:rsidP="0006396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rStyle w:val="search"/>
          <w:bCs/>
          <w:color w:val="000000"/>
          <w:lang w:val="en-US"/>
        </w:rPr>
      </w:pPr>
      <w:r w:rsidRPr="004724F3">
        <w:rPr>
          <w:bCs/>
          <w:color w:val="000000"/>
          <w:lang w:val="en-US"/>
        </w:rPr>
        <w:t>B</w:t>
      </w:r>
      <w:r>
        <w:rPr>
          <w:bCs/>
          <w:color w:val="000000"/>
          <w:lang w:val="en-US"/>
        </w:rPr>
        <w:t>lume</w:t>
      </w:r>
      <w:r w:rsidRPr="004724F3">
        <w:rPr>
          <w:bCs/>
          <w:color w:val="000000"/>
          <w:lang w:val="en-US"/>
        </w:rPr>
        <w:t xml:space="preserve"> </w:t>
      </w:r>
      <w:r>
        <w:rPr>
          <w:bCs/>
          <w:color w:val="000000"/>
          <w:lang w:val="en-US"/>
        </w:rPr>
        <w:t xml:space="preserve">F., </w:t>
      </w:r>
      <w:r w:rsidRPr="004724F3">
        <w:rPr>
          <w:bCs/>
          <w:color w:val="000000"/>
          <w:lang w:val="en-US"/>
        </w:rPr>
        <w:t>A</w:t>
      </w:r>
      <w:r>
        <w:rPr>
          <w:bCs/>
          <w:color w:val="000000"/>
          <w:lang w:val="en-US"/>
        </w:rPr>
        <w:t>rndt</w:t>
      </w:r>
      <w:r w:rsidRPr="004724F3">
        <w:rPr>
          <w:bCs/>
          <w:color w:val="000000"/>
          <w:lang w:val="en-US"/>
        </w:rPr>
        <w:t xml:space="preserve"> </w:t>
      </w:r>
      <w:r>
        <w:rPr>
          <w:bCs/>
          <w:color w:val="000000"/>
          <w:lang w:val="en-US"/>
        </w:rPr>
        <w:t>F.,</w:t>
      </w:r>
      <w:r w:rsidRPr="004724F3">
        <w:rPr>
          <w:bCs/>
          <w:color w:val="000000"/>
          <w:lang w:val="en-US"/>
        </w:rPr>
        <w:t xml:space="preserve"> R</w:t>
      </w:r>
      <w:r>
        <w:rPr>
          <w:bCs/>
          <w:color w:val="000000"/>
          <w:lang w:val="en-US"/>
        </w:rPr>
        <w:t>ichter E.,</w:t>
      </w:r>
      <w:r w:rsidRPr="004724F3">
        <w:rPr>
          <w:bCs/>
          <w:color w:val="000000"/>
          <w:lang w:val="en-US"/>
        </w:rPr>
        <w:t xml:space="preserve"> K</w:t>
      </w:r>
      <w:r>
        <w:rPr>
          <w:bCs/>
          <w:color w:val="000000"/>
          <w:lang w:val="en-US"/>
        </w:rPr>
        <w:t>oetter</w:t>
      </w:r>
      <w:r w:rsidRPr="004724F3">
        <w:rPr>
          <w:bCs/>
          <w:color w:val="000000"/>
          <w:lang w:val="en-US"/>
        </w:rPr>
        <w:t xml:space="preserve"> C</w:t>
      </w:r>
      <w:r>
        <w:rPr>
          <w:bCs/>
          <w:color w:val="000000"/>
          <w:lang w:val="en-US"/>
        </w:rPr>
        <w:t>.,</w:t>
      </w:r>
      <w:r w:rsidRPr="004724F3">
        <w:rPr>
          <w:bCs/>
          <w:color w:val="000000"/>
          <w:lang w:val="en-US"/>
        </w:rPr>
        <w:t xml:space="preserve"> R</w:t>
      </w:r>
      <w:r>
        <w:rPr>
          <w:bCs/>
          <w:color w:val="000000"/>
          <w:lang w:val="en-US"/>
        </w:rPr>
        <w:t>usch</w:t>
      </w:r>
      <w:r w:rsidRPr="004724F3">
        <w:rPr>
          <w:bCs/>
          <w:color w:val="000000"/>
          <w:lang w:val="en-US"/>
        </w:rPr>
        <w:t xml:space="preserve"> R</w:t>
      </w:r>
      <w:r>
        <w:rPr>
          <w:bCs/>
          <w:color w:val="000000"/>
          <w:lang w:val="en-US"/>
        </w:rPr>
        <w:t xml:space="preserve">. </w:t>
      </w:r>
      <w:r w:rsidRPr="004724F3">
        <w:rPr>
          <w:bCs/>
          <w:color w:val="000000"/>
          <w:lang w:val="en-US"/>
        </w:rPr>
        <w:t>Imidazolidinedionephosphonic acids and salts thereof, processes for the preparation of these compounds, and herbicides and growth regulators containing them</w:t>
      </w:r>
      <w:r>
        <w:rPr>
          <w:bCs/>
          <w:color w:val="000000"/>
          <w:lang w:val="en-US"/>
        </w:rPr>
        <w:t xml:space="preserve"> // DE Patent </w:t>
      </w:r>
      <w:r w:rsidRPr="004724F3">
        <w:rPr>
          <w:rStyle w:val="search"/>
          <w:lang w:val="en-US"/>
        </w:rPr>
        <w:t>DE3427794A1</w:t>
      </w:r>
      <w:r>
        <w:rPr>
          <w:rStyle w:val="search"/>
          <w:lang w:val="en-US"/>
        </w:rPr>
        <w:t xml:space="preserve"> Schering AG. 1986.</w:t>
      </w:r>
    </w:p>
    <w:p w14:paraId="0CE20D7D" w14:textId="2DF249CA" w:rsidR="004724F3" w:rsidRPr="004724F3" w:rsidRDefault="004724F3" w:rsidP="0006396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bCs/>
          <w:color w:val="000000"/>
          <w:lang w:val="en-US"/>
        </w:rPr>
      </w:pPr>
      <w:r w:rsidRPr="004724F3">
        <w:rPr>
          <w:bCs/>
          <w:color w:val="000000"/>
          <w:lang w:val="en-US"/>
        </w:rPr>
        <w:t xml:space="preserve">Todorov, P.T., Naydenova, E.D., Troev, K.D. Synthesis of novel aminophosphonic acids with hydantoin structure </w:t>
      </w:r>
      <w:r>
        <w:rPr>
          <w:bCs/>
          <w:color w:val="000000"/>
          <w:lang w:val="en-US"/>
        </w:rPr>
        <w:t xml:space="preserve">// </w:t>
      </w:r>
      <w:r w:rsidRPr="004724F3">
        <w:rPr>
          <w:bCs/>
          <w:color w:val="000000"/>
          <w:lang w:val="en-US"/>
        </w:rPr>
        <w:t>Heteroatom Chemistry</w:t>
      </w:r>
      <w:r>
        <w:rPr>
          <w:bCs/>
          <w:color w:val="000000"/>
          <w:lang w:val="en-US"/>
        </w:rPr>
        <w:t>. 2009. Vol.</w:t>
      </w:r>
      <w:r w:rsidRPr="004724F3">
        <w:rPr>
          <w:bCs/>
          <w:color w:val="000000"/>
          <w:lang w:val="en-US"/>
        </w:rPr>
        <w:t xml:space="preserve"> 20</w:t>
      </w:r>
      <w:r>
        <w:rPr>
          <w:bCs/>
          <w:color w:val="000000"/>
          <w:lang w:val="en-US"/>
        </w:rPr>
        <w:t xml:space="preserve">. </w:t>
      </w:r>
      <w:r>
        <w:rPr>
          <w:bCs/>
          <w:color w:val="000000"/>
        </w:rPr>
        <w:t xml:space="preserve">№2. </w:t>
      </w:r>
      <w:r>
        <w:rPr>
          <w:bCs/>
          <w:color w:val="000000"/>
          <w:lang w:val="en-US"/>
        </w:rPr>
        <w:t>P.</w:t>
      </w:r>
      <w:r w:rsidRPr="004724F3">
        <w:rPr>
          <w:bCs/>
          <w:color w:val="000000"/>
          <w:lang w:val="en-US"/>
        </w:rPr>
        <w:t xml:space="preserve"> 87–90.</w:t>
      </w:r>
    </w:p>
    <w:sectPr w:rsidR="004724F3" w:rsidRPr="004724F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720DAC"/>
    <w:multiLevelType w:val="hybridMultilevel"/>
    <w:tmpl w:val="507C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5618"/>
    <w:rsid w:val="00086081"/>
    <w:rsid w:val="000F7568"/>
    <w:rsid w:val="00100618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0192A"/>
    <w:rsid w:val="004522AD"/>
    <w:rsid w:val="004724F3"/>
    <w:rsid w:val="004A26A3"/>
    <w:rsid w:val="004F0EDF"/>
    <w:rsid w:val="00522BF1"/>
    <w:rsid w:val="00590166"/>
    <w:rsid w:val="0069427D"/>
    <w:rsid w:val="006D33DB"/>
    <w:rsid w:val="006E6A08"/>
    <w:rsid w:val="006F7A19"/>
    <w:rsid w:val="00775389"/>
    <w:rsid w:val="00797838"/>
    <w:rsid w:val="007C36D8"/>
    <w:rsid w:val="007F2744"/>
    <w:rsid w:val="008931BE"/>
    <w:rsid w:val="008C67E3"/>
    <w:rsid w:val="00904315"/>
    <w:rsid w:val="00921D45"/>
    <w:rsid w:val="009664A6"/>
    <w:rsid w:val="00992ABD"/>
    <w:rsid w:val="009A66DB"/>
    <w:rsid w:val="009B2F80"/>
    <w:rsid w:val="009B3300"/>
    <w:rsid w:val="009F3380"/>
    <w:rsid w:val="00A02163"/>
    <w:rsid w:val="00A2600E"/>
    <w:rsid w:val="00A314FE"/>
    <w:rsid w:val="00BD0CC2"/>
    <w:rsid w:val="00BF36F8"/>
    <w:rsid w:val="00BF4622"/>
    <w:rsid w:val="00CD00B1"/>
    <w:rsid w:val="00D22306"/>
    <w:rsid w:val="00D42542"/>
    <w:rsid w:val="00D8121C"/>
    <w:rsid w:val="00E03DC8"/>
    <w:rsid w:val="00E22189"/>
    <w:rsid w:val="00E63691"/>
    <w:rsid w:val="00E74069"/>
    <w:rsid w:val="00EB1F49"/>
    <w:rsid w:val="00ED2AEB"/>
    <w:rsid w:val="00F865B3"/>
    <w:rsid w:val="00FB1509"/>
    <w:rsid w:val="00FF1903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search">
    <w:name w:val="search"/>
    <w:basedOn w:val="a0"/>
    <w:rsid w:val="00472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0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Cumstealer OC</dc:creator>
  <cp:lastModifiedBy>Дмитрий Дмитрий</cp:lastModifiedBy>
  <cp:revision>2</cp:revision>
  <dcterms:created xsi:type="dcterms:W3CDTF">2024-02-29T10:49:00Z</dcterms:created>
  <dcterms:modified xsi:type="dcterms:W3CDTF">2024-02-29T10:49:00Z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