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EE" w:rsidRDefault="008C3B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Новые </w:t>
      </w:r>
      <w:proofErr w:type="spellStart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иод</w:t>
      </w:r>
      <w:proofErr w:type="spellEnd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- и бромзамещенные </w:t>
      </w:r>
      <w:proofErr w:type="spellStart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карбазол-аннелированные</w:t>
      </w:r>
      <w:proofErr w:type="spellEnd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>субпорфиразины</w:t>
      </w:r>
      <w:proofErr w:type="spellEnd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>: синтез и изучение оптических свойств</w:t>
      </w:r>
    </w:p>
    <w:p w:rsidR="007559EE" w:rsidRDefault="007E47E5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>Иванова М.М</w:t>
      </w:r>
      <w:r w:rsidRPr="00D16789"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>.,</w:t>
      </w:r>
      <w:r w:rsidR="008C3BEA" w:rsidRPr="008C3BEA">
        <w:t xml:space="preserve"> </w:t>
      </w:r>
      <w:r w:rsidRPr="008C3BEA"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>Белоусов</w:t>
      </w:r>
      <w:r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 xml:space="preserve"> М.С.</w:t>
      </w:r>
    </w:p>
    <w:p w:rsidR="007559EE" w:rsidRDefault="007E47E5">
      <w:pPr>
        <w:spacing w:after="0" w:line="240" w:lineRule="auto"/>
        <w:jc w:val="center"/>
      </w:pPr>
      <w:r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Студент, </w:t>
      </w:r>
      <w:r w:rsidRPr="00D16789">
        <w:rPr>
          <w:rFonts w:ascii="Times New Roman" w:eastAsia="Times New Roman" w:hAnsi="Times New Roman"/>
          <w:i/>
          <w:color w:val="000000"/>
          <w:sz w:val="24"/>
          <w:szCs w:val="20"/>
          <w:lang w:eastAsia="ru-RU"/>
        </w:rPr>
        <w:t>3</w:t>
      </w:r>
      <w:r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курс специалитета</w:t>
      </w:r>
    </w:p>
    <w:p w:rsidR="007559EE" w:rsidRDefault="007E47E5" w:rsidP="008C3BEA">
      <w:pPr>
        <w:spacing w:after="0" w:line="240" w:lineRule="auto"/>
        <w:jc w:val="center"/>
      </w:pPr>
      <w:r>
        <w:rPr>
          <w:rFonts w:ascii="Times New Roman" w:eastAsia="Times New Roman" w:hAnsi="Times New Roman"/>
          <w:i/>
          <w:sz w:val="24"/>
          <w:szCs w:val="20"/>
          <w:lang w:eastAsia="ru-RU"/>
        </w:rPr>
        <w:t>Московский государственный университет имени М.В. Ломоносова, химический</w:t>
      </w:r>
      <w:r>
        <w:rPr>
          <w:rFonts w:ascii="Times New Roman" w:eastAsia="Times New Roman" w:hAnsi="Times New Roman"/>
          <w:i/>
          <w:sz w:val="24"/>
          <w:szCs w:val="20"/>
          <w:shd w:val="clear" w:color="auto" w:fill="FFFF00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0"/>
          <w:lang w:eastAsia="ru-RU"/>
        </w:rPr>
        <w:t>факультет, Москва, Россия</w:t>
      </w:r>
    </w:p>
    <w:p w:rsidR="007559EE" w:rsidRPr="00145B2D" w:rsidRDefault="007E47E5">
      <w:pPr>
        <w:spacing w:after="0" w:line="240" w:lineRule="auto"/>
        <w:jc w:val="center"/>
      </w:pPr>
      <w:r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E</w:t>
      </w:r>
      <w:r w:rsidRPr="00147275">
        <w:rPr>
          <w:rFonts w:ascii="Times New Roman" w:eastAsia="Times New Roman" w:hAnsi="Times New Roman"/>
          <w:i/>
          <w:sz w:val="24"/>
          <w:szCs w:val="20"/>
          <w:lang w:eastAsia="ru-RU"/>
        </w:rPr>
        <w:t>-</w:t>
      </w:r>
      <w:r w:rsidRPr="00145B2D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mail</w:t>
      </w:r>
      <w:r w:rsidRPr="00145B2D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: </w:t>
      </w:r>
      <w:proofErr w:type="spellStart"/>
      <w:r w:rsidRPr="00145B2D">
        <w:rPr>
          <w:rFonts w:ascii="Times New Roman" w:eastAsia="Times New Roman" w:hAnsi="Times New Roman"/>
          <w:i/>
          <w:color w:val="000000"/>
          <w:sz w:val="24"/>
          <w:szCs w:val="20"/>
          <w:u w:val="single"/>
          <w:lang w:val="en-US" w:eastAsia="ru-RU"/>
        </w:rPr>
        <w:t>mivanovam</w:t>
      </w:r>
      <w:proofErr w:type="spellEnd"/>
      <w:r w:rsidRPr="00145B2D">
        <w:rPr>
          <w:rFonts w:ascii="Times New Roman" w:eastAsia="Times New Roman" w:hAnsi="Times New Roman"/>
          <w:i/>
          <w:color w:val="000000"/>
          <w:sz w:val="24"/>
          <w:szCs w:val="20"/>
          <w:u w:val="single"/>
          <w:lang w:eastAsia="ru-RU"/>
        </w:rPr>
        <w:t>00</w:t>
      </w:r>
      <w:r w:rsidRPr="00145B2D">
        <w:rPr>
          <w:rFonts w:ascii="Times New Roman" w:eastAsia="Times New Roman" w:hAnsi="Times New Roman"/>
          <w:i/>
          <w:sz w:val="24"/>
          <w:szCs w:val="20"/>
          <w:u w:val="single"/>
          <w:lang w:eastAsia="ru-RU"/>
        </w:rPr>
        <w:t>@</w:t>
      </w:r>
      <w:r w:rsidRPr="00145B2D">
        <w:rPr>
          <w:rFonts w:ascii="Times New Roman" w:eastAsia="Times New Roman" w:hAnsi="Times New Roman"/>
          <w:i/>
          <w:sz w:val="24"/>
          <w:szCs w:val="20"/>
          <w:u w:val="single"/>
          <w:lang w:val="en-US" w:eastAsia="ru-RU"/>
        </w:rPr>
        <w:t>mail</w:t>
      </w:r>
      <w:r w:rsidRPr="00145B2D">
        <w:rPr>
          <w:rFonts w:ascii="Times New Roman" w:eastAsia="Times New Roman" w:hAnsi="Times New Roman"/>
          <w:i/>
          <w:sz w:val="24"/>
          <w:szCs w:val="20"/>
          <w:u w:val="single"/>
          <w:lang w:eastAsia="ru-RU"/>
        </w:rPr>
        <w:t>.</w:t>
      </w:r>
      <w:proofErr w:type="spellStart"/>
      <w:r w:rsidRPr="00145B2D">
        <w:rPr>
          <w:rFonts w:ascii="Times New Roman" w:eastAsia="Times New Roman" w:hAnsi="Times New Roman"/>
          <w:i/>
          <w:sz w:val="24"/>
          <w:szCs w:val="20"/>
          <w:u w:val="single"/>
          <w:lang w:val="en-US" w:eastAsia="ru-RU"/>
        </w:rPr>
        <w:t>ru</w:t>
      </w:r>
      <w:proofErr w:type="spellEnd"/>
    </w:p>
    <w:p w:rsidR="007559EE" w:rsidRDefault="007E47E5" w:rsidP="000675AD">
      <w:pPr>
        <w:spacing w:after="0" w:line="240" w:lineRule="auto"/>
        <w:ind w:firstLine="397"/>
        <w:jc w:val="both"/>
      </w:pPr>
      <w:r w:rsidRPr="00145B2D">
        <w:rPr>
          <w:rFonts w:ascii="Times New Roman" w:eastAsia="Times New Roman" w:hAnsi="Times New Roman"/>
          <w:iCs/>
          <w:sz w:val="24"/>
          <w:szCs w:val="20"/>
          <w:lang w:val="en-US" w:eastAsia="ru-RU"/>
        </w:rPr>
        <w:t>C</w:t>
      </w:r>
      <w:proofErr w:type="spellStart"/>
      <w:r w:rsidRPr="00145B2D">
        <w:rPr>
          <w:rFonts w:ascii="Times New Roman" w:eastAsia="Times New Roman" w:hAnsi="Times New Roman"/>
          <w:iCs/>
          <w:sz w:val="24"/>
          <w:szCs w:val="20"/>
          <w:lang w:eastAsia="ru-RU"/>
        </w:rPr>
        <w:t>убпорфиразины</w:t>
      </w:r>
      <w:proofErr w:type="spellEnd"/>
      <w:r w:rsidR="00147275" w:rsidRPr="00145B2D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бора</w:t>
      </w:r>
      <w:r w:rsidRPr="00145B2D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представляют собой </w:t>
      </w:r>
      <w:proofErr w:type="spellStart"/>
      <w:r w:rsidRPr="00145B2D">
        <w:rPr>
          <w:rFonts w:ascii="Times New Roman" w:eastAsia="Times New Roman" w:hAnsi="Times New Roman"/>
          <w:iCs/>
          <w:sz w:val="24"/>
          <w:szCs w:val="20"/>
          <w:lang w:eastAsia="ru-RU"/>
        </w:rPr>
        <w:t>макрогетероциклы</w:t>
      </w:r>
      <w:proofErr w:type="spellEnd"/>
      <w:r w:rsidRPr="00145B2D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proofErr w:type="spellStart"/>
      <w:r w:rsidRPr="00145B2D">
        <w:rPr>
          <w:rFonts w:ascii="Times New Roman" w:eastAsia="Times New Roman" w:hAnsi="Times New Roman"/>
          <w:iCs/>
          <w:sz w:val="24"/>
          <w:szCs w:val="20"/>
          <w:lang w:eastAsia="ru-RU"/>
        </w:rPr>
        <w:t>трип</w:t>
      </w:r>
      <w:r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>ир</w:t>
      </w:r>
      <w:r w:rsidR="001757FF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>р</w:t>
      </w:r>
      <w:r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>о</w:t>
      </w:r>
      <w:r w:rsidRPr="00145B2D">
        <w:rPr>
          <w:rFonts w:ascii="Times New Roman" w:eastAsia="Times New Roman" w:hAnsi="Times New Roman"/>
          <w:iCs/>
          <w:sz w:val="24"/>
          <w:szCs w:val="20"/>
          <w:lang w:eastAsia="ru-RU"/>
        </w:rPr>
        <w:t>льного</w:t>
      </w:r>
      <w:proofErr w:type="spellEnd"/>
      <w:r w:rsidRPr="00145B2D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типа. За счет высоких значений квантового выхода генерации синглет</w:t>
      </w:r>
      <w:r w:rsidR="00147275" w:rsidRPr="00145B2D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ного кислорода и флуоресценции, низкой </w:t>
      </w:r>
      <w:r w:rsidRPr="00145B2D">
        <w:rPr>
          <w:rFonts w:ascii="Times New Roman" w:eastAsia="Times New Roman" w:hAnsi="Times New Roman"/>
          <w:iCs/>
          <w:sz w:val="24"/>
          <w:szCs w:val="20"/>
          <w:lang w:eastAsia="ru-RU"/>
        </w:rPr>
        <w:t>склонност</w:t>
      </w:r>
      <w:r w:rsidR="00147275" w:rsidRPr="00145B2D">
        <w:rPr>
          <w:rFonts w:ascii="Times New Roman" w:eastAsia="Times New Roman" w:hAnsi="Times New Roman"/>
          <w:iCs/>
          <w:sz w:val="24"/>
          <w:szCs w:val="20"/>
          <w:lang w:eastAsia="ru-RU"/>
        </w:rPr>
        <w:t>и</w:t>
      </w:r>
      <w:r w:rsidRPr="00145B2D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к агрегации в растворе, данные соединения являются перспективными фотосенсибилизаторами для фотодинамической терапии рака. Расширение </w:t>
      </w:r>
      <w:proofErr w:type="gramStart"/>
      <w:r w:rsidRPr="00145B2D">
        <w:rPr>
          <w:rFonts w:ascii="Times New Roman" w:eastAsia="Times New Roman" w:hAnsi="Times New Roman"/>
          <w:iCs/>
          <w:sz w:val="24"/>
          <w:szCs w:val="20"/>
          <w:lang w:eastAsia="ru-RU"/>
        </w:rPr>
        <w:t>π-</w:t>
      </w:r>
      <w:proofErr w:type="gramEnd"/>
      <w:r w:rsidRPr="00145B2D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системы </w:t>
      </w:r>
      <w:proofErr w:type="spellStart"/>
      <w:r w:rsidRPr="00145B2D">
        <w:rPr>
          <w:rFonts w:ascii="Times New Roman" w:eastAsia="Times New Roman" w:hAnsi="Times New Roman"/>
          <w:iCs/>
          <w:sz w:val="24"/>
          <w:szCs w:val="20"/>
          <w:lang w:eastAsia="ru-RU"/>
        </w:rPr>
        <w:t>субпорфиразинов</w:t>
      </w:r>
      <w:proofErr w:type="spellEnd"/>
      <w:r w:rsidRPr="00145B2D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приводит к сдвигу максимума поглощения в область </w:t>
      </w:r>
      <w:r w:rsidR="00147275" w:rsidRPr="00145B2D">
        <w:rPr>
          <w:rFonts w:ascii="Times New Roman" w:eastAsia="Times New Roman" w:hAnsi="Times New Roman"/>
          <w:iCs/>
          <w:sz w:val="24"/>
          <w:szCs w:val="20"/>
          <w:lang w:eastAsia="ru-RU"/>
        </w:rPr>
        <w:t>окна прозрачности биологических тканей</w:t>
      </w:r>
      <w:r w:rsidR="006E4A0D" w:rsidRPr="00145B2D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(</w:t>
      </w:r>
      <w:r w:rsidR="00734490">
        <w:rPr>
          <w:rFonts w:ascii="Times New Roman" w:eastAsia="Times New Roman" w:hAnsi="Times New Roman"/>
          <w:iCs/>
          <w:sz w:val="24"/>
          <w:szCs w:val="20"/>
          <w:lang w:eastAsia="ru-RU"/>
        </w:rPr>
        <w:t>6</w:t>
      </w:r>
      <w:r w:rsidR="006E4A0D" w:rsidRPr="00145B2D">
        <w:rPr>
          <w:rFonts w:ascii="Times New Roman" w:eastAsia="Times New Roman" w:hAnsi="Times New Roman"/>
          <w:iCs/>
          <w:sz w:val="24"/>
          <w:szCs w:val="20"/>
          <w:lang w:eastAsia="ru-RU"/>
        </w:rPr>
        <w:t>00-900 нм)</w:t>
      </w:r>
      <w:r w:rsidRPr="00145B2D">
        <w:rPr>
          <w:rFonts w:ascii="Times New Roman" w:eastAsia="Times New Roman" w:hAnsi="Times New Roman"/>
          <w:iCs/>
          <w:sz w:val="24"/>
          <w:szCs w:val="20"/>
          <w:lang w:eastAsia="ru-RU"/>
        </w:rPr>
        <w:t>.</w:t>
      </w:r>
    </w:p>
    <w:p w:rsidR="007559EE" w:rsidRPr="0020648C" w:rsidRDefault="007E47E5" w:rsidP="000675AD">
      <w:pPr>
        <w:spacing w:after="0" w:line="240" w:lineRule="auto"/>
        <w:ind w:firstLine="397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Таким образом, целью </w:t>
      </w:r>
      <w:r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>настояще</w:t>
      </w:r>
      <w:r w:rsidR="001757FF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>го</w:t>
      </w:r>
      <w:r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1757FF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>исследования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являлась разработка подхода к синтезу новых аналогов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субпорфиразинов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с расширенной π-системой, содержащих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аннелированный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фрагмент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карбазола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.</w:t>
      </w:r>
    </w:p>
    <w:p w:rsidR="007559EE" w:rsidRDefault="00F5159A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31840" cy="2000250"/>
            <wp:effectExtent l="0" t="0" r="0" b="0"/>
            <wp:docPr id="17771189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9EE" w:rsidRPr="00F5159A" w:rsidRDefault="007559EE" w:rsidP="00F5159A">
      <w:pPr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</w:p>
    <w:p w:rsidR="007559EE" w:rsidRPr="00DA52A9" w:rsidRDefault="00722C78" w:rsidP="000675AD">
      <w:pPr>
        <w:spacing w:after="0" w:line="240" w:lineRule="auto"/>
        <w:ind w:firstLine="397"/>
        <w:jc w:val="both"/>
      </w:pP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В качестве исходного соединения выбран</w:t>
      </w:r>
      <w:r w:rsidR="006E2B2E"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4-</w:t>
      </w:r>
      <w:r w:rsid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фенил-5-нитрофалонитрил </w:t>
      </w:r>
      <w:r w:rsidR="006E2B2E" w:rsidRPr="006E2B2E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1</w:t>
      </w:r>
      <w:r w:rsid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>,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который может быть получен в</w:t>
      </w:r>
      <w:r w:rsidR="006F62FA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6 стадий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из коммерчески доступного</w:t>
      </w:r>
      <w:r w:rsid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фталевого ангидрида</w:t>
      </w:r>
      <w:r w:rsidR="006E2B2E"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. </w:t>
      </w:r>
      <w:r w:rsidR="007E47E5"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>На перво</w:t>
      </w:r>
      <w:r w:rsidR="0072441D"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>й</w:t>
      </w:r>
      <w:r w:rsidR="007E47E5"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72441D"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>стадии синтеза</w:t>
      </w:r>
      <w:r w:rsidR="007E47E5"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в результате восстановительной циклизации по </w:t>
      </w:r>
      <w:proofErr w:type="spellStart"/>
      <w:r w:rsidR="007E47E5"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>Кадогану</w:t>
      </w:r>
      <w:proofErr w:type="spellEnd"/>
      <w:r w:rsidR="007E47E5"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по</w:t>
      </w:r>
      <w:r w:rsidR="007E47E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лучен 2,3-дицианокарбазол </w:t>
      </w:r>
      <w:r w:rsidR="007E47E5" w:rsidRPr="00D16789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2</w:t>
      </w:r>
      <w:r w:rsidR="007E47E5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. </w:t>
      </w:r>
      <w:r w:rsidR="00231BF5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>С использованием р</w:t>
      </w:r>
      <w:r w:rsidR="007E47E5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>еакци</w:t>
      </w:r>
      <w:r w:rsidR="00231BF5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>и</w:t>
      </w:r>
      <w:r w:rsidR="007E47E5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нуклеофильного алкилирования </w:t>
      </w:r>
      <w:r w:rsidR="007E47E5" w:rsidRPr="00DA52A9">
        <w:rPr>
          <w:rFonts w:ascii="Times New Roman" w:eastAsia="Times New Roman" w:hAnsi="Times New Roman"/>
          <w:iCs/>
          <w:sz w:val="24"/>
          <w:szCs w:val="20"/>
          <w:lang w:val="en-US" w:eastAsia="ru-RU"/>
        </w:rPr>
        <w:t>N</w:t>
      </w:r>
      <w:r w:rsidR="007E47E5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-положения </w:t>
      </w:r>
      <w:proofErr w:type="spellStart"/>
      <w:r w:rsidR="007E47E5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>карбазола</w:t>
      </w:r>
      <w:proofErr w:type="spellEnd"/>
      <w:r w:rsidR="007E47E5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получ</w:t>
      </w:r>
      <w:r w:rsidR="00231BF5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>ен</w:t>
      </w:r>
      <w:r w:rsidR="007E47E5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7E47E5" w:rsidRPr="00DA52A9">
        <w:rPr>
          <w:rFonts w:ascii="Times New Roman" w:eastAsia="Times New Roman" w:hAnsi="Times New Roman"/>
          <w:iCs/>
          <w:sz w:val="24"/>
          <w:szCs w:val="20"/>
          <w:lang w:val="en-US" w:eastAsia="ru-RU"/>
        </w:rPr>
        <w:t>N</w:t>
      </w:r>
      <w:r w:rsidR="007E47E5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-(2-этилгексил) замещенный </w:t>
      </w:r>
      <w:proofErr w:type="spellStart"/>
      <w:r w:rsidR="007E47E5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>дицианокарбазол</w:t>
      </w:r>
      <w:proofErr w:type="spellEnd"/>
      <w:r w:rsidR="007E47E5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7E47E5" w:rsidRPr="00DA52A9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3</w:t>
      </w:r>
      <w:r w:rsidR="007E47E5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>.</w:t>
      </w:r>
    </w:p>
    <w:p w:rsidR="007559EE" w:rsidRPr="008C3BEA" w:rsidRDefault="007E47E5" w:rsidP="000675AD">
      <w:pPr>
        <w:spacing w:after="0" w:line="240" w:lineRule="auto"/>
        <w:ind w:firstLine="397"/>
        <w:jc w:val="both"/>
      </w:pPr>
      <w:r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Реакцию </w:t>
      </w:r>
      <w:proofErr w:type="spellStart"/>
      <w:r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>темплатной</w:t>
      </w:r>
      <w:proofErr w:type="spellEnd"/>
      <w:r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конденсации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с участием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дицианокарбазола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Pr="00D16789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3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проводили в кипящем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0"/>
          <w:lang w:eastAsia="ru-RU"/>
        </w:rPr>
        <w:t>о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-дихлорбензоле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, в присутствии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трихлорида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бора. Однако, выход целевого комплекса </w:t>
      </w:r>
      <w:r>
        <w:rPr>
          <w:rFonts w:ascii="Times New Roman" w:eastAsia="Times New Roman" w:hAnsi="Times New Roman"/>
          <w:b/>
          <w:iCs/>
          <w:sz w:val="24"/>
          <w:szCs w:val="20"/>
          <w:lang w:eastAsia="ru-RU"/>
        </w:rPr>
        <w:t>6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оказался неудовлетворительным что связано с образованием поли- и олигомерных побочных продуктов, являющихся результатом С-С окислительного сочетания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карбазольных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Pr="008C3BEA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фрагментов. </w:t>
      </w:r>
    </w:p>
    <w:p w:rsidR="007559EE" w:rsidRPr="0072441D" w:rsidRDefault="007E47E5" w:rsidP="000675AD">
      <w:pPr>
        <w:spacing w:after="0" w:line="240" w:lineRule="auto"/>
        <w:ind w:firstLine="397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 w:rsidRPr="008C3BEA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Селективное </w:t>
      </w:r>
      <w:proofErr w:type="spellStart"/>
      <w:r w:rsidRPr="008C3BEA">
        <w:rPr>
          <w:rFonts w:ascii="Times New Roman" w:eastAsia="Times New Roman" w:hAnsi="Times New Roman"/>
          <w:iCs/>
          <w:sz w:val="24"/>
          <w:szCs w:val="20"/>
          <w:lang w:eastAsia="ru-RU"/>
        </w:rPr>
        <w:t>бромирование</w:t>
      </w:r>
      <w:proofErr w:type="spellEnd"/>
      <w:r w:rsidRPr="008C3BEA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и </w:t>
      </w:r>
      <w:proofErr w:type="spellStart"/>
      <w:r w:rsidRPr="008C3BEA">
        <w:rPr>
          <w:rFonts w:ascii="Times New Roman" w:eastAsia="Times New Roman" w:hAnsi="Times New Roman"/>
          <w:iCs/>
          <w:sz w:val="24"/>
          <w:szCs w:val="20"/>
          <w:lang w:eastAsia="ru-RU"/>
        </w:rPr>
        <w:t>иодирование</w:t>
      </w:r>
      <w:proofErr w:type="spellEnd"/>
      <w:r w:rsidRPr="00D1678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карбазола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3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>позволило</w:t>
      </w:r>
      <w:r w:rsidR="0072441D"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защитить</w:t>
      </w:r>
      <w:r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шестое положение цикла, ограничив таким образом возможность образование нежелательных полимерных продуктов реакции</w:t>
      </w:r>
      <w:r w:rsidR="0072441D"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>.</w:t>
      </w:r>
      <w:r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72441D"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>Э</w:t>
      </w:r>
      <w:r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то позволило повысить выходы целевых </w:t>
      </w:r>
      <w:proofErr w:type="spellStart"/>
      <w:r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>субпорфиразинов</w:t>
      </w:r>
      <w:proofErr w:type="spellEnd"/>
      <w:r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Pr="006E2B2E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7</w:t>
      </w:r>
      <w:r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и </w:t>
      </w:r>
      <w:r w:rsidRPr="006E2B2E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8</w:t>
      </w:r>
      <w:r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по сравнению с комплексом </w:t>
      </w:r>
      <w:r w:rsidRPr="006E2B2E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6</w:t>
      </w:r>
      <w:r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. Полученные соединения охарактеризованы методами масс-спектрометрии MALDI TOF, а также ИК-Фурье, </w:t>
      </w:r>
      <w:r w:rsidRPr="006E2B2E">
        <w:rPr>
          <w:rFonts w:ascii="Times New Roman" w:eastAsia="Times New Roman" w:hAnsi="Times New Roman"/>
          <w:iCs/>
          <w:sz w:val="24"/>
          <w:szCs w:val="20"/>
          <w:vertAlign w:val="superscript"/>
          <w:lang w:eastAsia="ru-RU"/>
        </w:rPr>
        <w:t>1</w:t>
      </w:r>
      <w:r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>H</w:t>
      </w:r>
      <w:r w:rsidRPr="008C3BEA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ЯМР.</w:t>
      </w:r>
      <w:r w:rsidR="0072441D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72441D"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>В UV/</w:t>
      </w:r>
      <w:proofErr w:type="spellStart"/>
      <w:r w:rsidR="0072441D"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>Vis</w:t>
      </w:r>
      <w:proofErr w:type="spellEnd"/>
      <w:r w:rsidR="0072441D"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спектрах наблюдается интенсивное поглощение </w:t>
      </w:r>
      <w:r w:rsid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в </w:t>
      </w:r>
      <w:r w:rsidR="00734490">
        <w:rPr>
          <w:rFonts w:ascii="Times New Roman" w:eastAsia="Times New Roman" w:hAnsi="Times New Roman"/>
          <w:iCs/>
          <w:sz w:val="24"/>
          <w:szCs w:val="20"/>
          <w:lang w:eastAsia="ru-RU"/>
        </w:rPr>
        <w:t>интервале</w:t>
      </w:r>
      <w:r w:rsidR="0072441D"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D64079" w:rsidRPr="00D64079">
        <w:rPr>
          <w:rFonts w:ascii="Times New Roman" w:eastAsia="Times New Roman" w:hAnsi="Times New Roman"/>
          <w:iCs/>
          <w:sz w:val="24"/>
          <w:szCs w:val="20"/>
          <w:lang w:eastAsia="ru-RU"/>
        </w:rPr>
        <w:t>638-</w:t>
      </w:r>
      <w:r w:rsidR="006E2B2E" w:rsidRPr="00D6407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646 </w:t>
      </w:r>
      <w:r w:rsidR="0072441D" w:rsidRPr="00D64079">
        <w:rPr>
          <w:rFonts w:ascii="Times New Roman" w:eastAsia="Times New Roman" w:hAnsi="Times New Roman"/>
          <w:iCs/>
          <w:sz w:val="24"/>
          <w:szCs w:val="20"/>
          <w:lang w:eastAsia="ru-RU"/>
        </w:rPr>
        <w:t>нм</w:t>
      </w:r>
      <w:r w:rsidR="0072441D"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>, находящееся в диапазоне высокой прозрачности биологических тканей.</w:t>
      </w:r>
      <w:r w:rsidR="007E7AE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67015A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>Кроме того</w:t>
      </w:r>
      <w:r w:rsidR="001D100E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>,</w:t>
      </w:r>
      <w:r w:rsidR="0067015A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полученные </w:t>
      </w:r>
      <w:proofErr w:type="spellStart"/>
      <w:r w:rsidR="0067015A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>карбазолоцианины</w:t>
      </w:r>
      <w:proofErr w:type="spellEnd"/>
      <w:r w:rsidR="0067015A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обладают флуоресценцией </w:t>
      </w:r>
      <w:r w:rsidR="00DA52A9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с максимумом испускания при 667 </w:t>
      </w:r>
      <w:r w:rsidR="001D100E" w:rsidRPr="00DA52A9">
        <w:rPr>
          <w:rFonts w:ascii="Times New Roman" w:eastAsia="Times New Roman" w:hAnsi="Times New Roman"/>
          <w:iCs/>
          <w:sz w:val="24"/>
          <w:szCs w:val="20"/>
          <w:lang w:eastAsia="ru-RU"/>
        </w:rPr>
        <w:t>нм.</w:t>
      </w:r>
    </w:p>
    <w:p w:rsidR="007559EE" w:rsidRDefault="007E47E5" w:rsidP="000675AD">
      <w:pPr>
        <w:spacing w:after="0" w:line="240" w:lineRule="auto"/>
        <w:jc w:val="center"/>
      </w:pPr>
      <w:r>
        <w:rPr>
          <w:rFonts w:ascii="Times New Roman" w:eastAsia="Times New Roman" w:hAnsi="Times New Roman"/>
          <w:i/>
          <w:sz w:val="24"/>
          <w:szCs w:val="20"/>
          <w:lang w:eastAsia="ru-RU"/>
        </w:rPr>
        <w:t>Работа выполнена при финансовой поддержке гра</w:t>
      </w:r>
      <w:r w:rsidRPr="00FB044C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нта </w:t>
      </w:r>
      <w:r w:rsidRPr="00FB044C">
        <w:rPr>
          <w:rFonts w:ascii="Times New Roman" w:hAnsi="Times New Roman"/>
          <w:i/>
          <w:sz w:val="24"/>
          <w:szCs w:val="24"/>
        </w:rPr>
        <w:t xml:space="preserve">РНФ № </w:t>
      </w:r>
      <w:r w:rsidR="00FB044C" w:rsidRPr="00FB044C">
        <w:rPr>
          <w:rFonts w:ascii="Times New Roman" w:hAnsi="Times New Roman"/>
          <w:i/>
          <w:sz w:val="24"/>
          <w:szCs w:val="24"/>
        </w:rPr>
        <w:t>23-73-10076</w:t>
      </w:r>
      <w:r w:rsidRPr="00FB044C">
        <w:rPr>
          <w:rFonts w:ascii="Times New Roman" w:hAnsi="Times New Roman"/>
          <w:i/>
          <w:sz w:val="24"/>
          <w:szCs w:val="24"/>
        </w:rPr>
        <w:t>.</w:t>
      </w:r>
    </w:p>
    <w:sectPr w:rsidR="007559EE" w:rsidSect="008F5D3D">
      <w:pgSz w:w="11906" w:h="16838"/>
      <w:pgMar w:top="1134" w:right="1361" w:bottom="1134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>
    <w:useFELayout/>
  </w:compat>
  <w:rsids>
    <w:rsidRoot w:val="007559EE"/>
    <w:rsid w:val="000675AD"/>
    <w:rsid w:val="000C343B"/>
    <w:rsid w:val="00145B2D"/>
    <w:rsid w:val="00147275"/>
    <w:rsid w:val="001757FF"/>
    <w:rsid w:val="00177C49"/>
    <w:rsid w:val="001D100E"/>
    <w:rsid w:val="0020648C"/>
    <w:rsid w:val="00231BF5"/>
    <w:rsid w:val="00352AC6"/>
    <w:rsid w:val="005C0EDE"/>
    <w:rsid w:val="0067015A"/>
    <w:rsid w:val="006A37C5"/>
    <w:rsid w:val="006B10D1"/>
    <w:rsid w:val="006E2B2E"/>
    <w:rsid w:val="006E4A0D"/>
    <w:rsid w:val="006F62FA"/>
    <w:rsid w:val="00722C78"/>
    <w:rsid w:val="0072441D"/>
    <w:rsid w:val="00734490"/>
    <w:rsid w:val="00744526"/>
    <w:rsid w:val="007559EE"/>
    <w:rsid w:val="007C6A14"/>
    <w:rsid w:val="007E47E5"/>
    <w:rsid w:val="007E7AE5"/>
    <w:rsid w:val="00860ED8"/>
    <w:rsid w:val="008C3BEA"/>
    <w:rsid w:val="008E5A3F"/>
    <w:rsid w:val="008F5D3D"/>
    <w:rsid w:val="00BA2836"/>
    <w:rsid w:val="00D02C53"/>
    <w:rsid w:val="00D16789"/>
    <w:rsid w:val="00D64079"/>
    <w:rsid w:val="00DA52A9"/>
    <w:rsid w:val="00F5159A"/>
    <w:rsid w:val="00FB0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26"/>
    <w:pPr>
      <w:spacing w:after="160" w:line="252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744526"/>
    <w:rPr>
      <w:color w:val="0563C1"/>
      <w:u w:val="single"/>
    </w:rPr>
  </w:style>
  <w:style w:type="character" w:styleId="a3">
    <w:name w:val="Placeholder Text"/>
    <w:qFormat/>
    <w:rsid w:val="00744526"/>
    <w:rPr>
      <w:color w:val="808080"/>
    </w:rPr>
  </w:style>
  <w:style w:type="character" w:customStyle="1" w:styleId="a4">
    <w:name w:val="Текст выноски Знак"/>
    <w:qFormat/>
    <w:rsid w:val="00744526"/>
    <w:rPr>
      <w:rFonts w:ascii="Tahoma" w:eastAsia="Calibri" w:hAnsi="Tahoma" w:cs="Tahoma"/>
      <w:sz w:val="16"/>
      <w:szCs w:val="16"/>
    </w:rPr>
  </w:style>
  <w:style w:type="paragraph" w:styleId="a5">
    <w:name w:val="Title"/>
    <w:basedOn w:val="a"/>
    <w:next w:val="a6"/>
    <w:uiPriority w:val="10"/>
    <w:qFormat/>
    <w:rsid w:val="00744526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6">
    <w:name w:val="Body Text"/>
    <w:basedOn w:val="a"/>
    <w:rsid w:val="00744526"/>
    <w:pPr>
      <w:spacing w:after="140" w:line="276" w:lineRule="auto"/>
    </w:pPr>
  </w:style>
  <w:style w:type="paragraph" w:styleId="a7">
    <w:name w:val="List"/>
    <w:basedOn w:val="a6"/>
    <w:rsid w:val="00744526"/>
    <w:rPr>
      <w:rFonts w:cs="Lucida Sans"/>
    </w:rPr>
  </w:style>
  <w:style w:type="paragraph" w:styleId="a8">
    <w:name w:val="caption"/>
    <w:basedOn w:val="a"/>
    <w:qFormat/>
    <w:rsid w:val="0074452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744526"/>
    <w:pPr>
      <w:suppressLineNumbers/>
    </w:pPr>
    <w:rPr>
      <w:rFonts w:cs="Lucida Sans"/>
    </w:rPr>
  </w:style>
  <w:style w:type="paragraph" w:styleId="aa">
    <w:name w:val="Balloon Text"/>
    <w:basedOn w:val="a"/>
    <w:qFormat/>
    <w:rsid w:val="007445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744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Белоусов</dc:creator>
  <cp:lastModifiedBy>Tatiana Dubinina</cp:lastModifiedBy>
  <cp:revision>2</cp:revision>
  <dcterms:created xsi:type="dcterms:W3CDTF">2024-03-07T00:35:00Z</dcterms:created>
  <dcterms:modified xsi:type="dcterms:W3CDTF">2024-03-07T00:35:00Z</dcterms:modified>
  <dc:language>ru-RU</dc:language>
</cp:coreProperties>
</file>