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772" w:rsidRDefault="00294772" w:rsidP="002947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bookmarkStart w:id="0" w:name="_GoBack"/>
      <w:bookmarkEnd w:id="0"/>
      <w:r w:rsidRPr="008E4EC7">
        <w:rPr>
          <w:b/>
          <w:bCs/>
          <w:color w:val="1A1A1A"/>
          <w:shd w:val="clear" w:color="auto" w:fill="FFFFFF"/>
        </w:rPr>
        <w:t>Твёрдые липидные наночастицы на основе пиллар[5]аренов, нагруженные противоопухолевым препаратом 5-фторурацилом</w:t>
      </w:r>
    </w:p>
    <w:p w:rsidR="00294772" w:rsidRPr="00211136" w:rsidRDefault="00294772" w:rsidP="00294772">
      <w:pPr>
        <w:jc w:val="center"/>
        <w:rPr>
          <w:b/>
          <w:bCs/>
          <w:i/>
          <w:iCs/>
        </w:rPr>
      </w:pPr>
      <w:r w:rsidRPr="00211136">
        <w:rPr>
          <w:b/>
          <w:bCs/>
          <w:i/>
          <w:iCs/>
        </w:rPr>
        <w:t>Шамсутдинов</w:t>
      </w:r>
      <w:r w:rsidR="00A428E1" w:rsidRPr="00A428E1">
        <w:rPr>
          <w:b/>
          <w:bCs/>
          <w:i/>
          <w:iCs/>
        </w:rPr>
        <w:t xml:space="preserve"> </w:t>
      </w:r>
      <w:r w:rsidR="00A428E1" w:rsidRPr="00211136">
        <w:rPr>
          <w:b/>
          <w:bCs/>
          <w:i/>
          <w:iCs/>
        </w:rPr>
        <w:t>А.А.</w:t>
      </w:r>
      <w:r w:rsidRPr="00211136">
        <w:rPr>
          <w:b/>
          <w:bCs/>
          <w:i/>
          <w:iCs/>
        </w:rPr>
        <w:t>, Филимонова</w:t>
      </w:r>
      <w:r w:rsidR="00A428E1" w:rsidRPr="00A428E1">
        <w:rPr>
          <w:b/>
          <w:bCs/>
          <w:i/>
          <w:iCs/>
        </w:rPr>
        <w:t xml:space="preserve"> </w:t>
      </w:r>
      <w:r w:rsidR="00A428E1" w:rsidRPr="00211136">
        <w:rPr>
          <w:b/>
          <w:bCs/>
          <w:i/>
          <w:iCs/>
        </w:rPr>
        <w:t>Д.А.</w:t>
      </w:r>
      <w:r w:rsidRPr="00211136">
        <w:rPr>
          <w:b/>
          <w:bCs/>
          <w:i/>
          <w:iCs/>
        </w:rPr>
        <w:t>, Назарова</w:t>
      </w:r>
      <w:r w:rsidR="00A428E1" w:rsidRPr="00A428E1">
        <w:rPr>
          <w:b/>
          <w:bCs/>
          <w:i/>
          <w:iCs/>
        </w:rPr>
        <w:t xml:space="preserve"> </w:t>
      </w:r>
      <w:r w:rsidR="00A428E1" w:rsidRPr="00211136">
        <w:rPr>
          <w:b/>
          <w:bCs/>
          <w:i/>
          <w:iCs/>
        </w:rPr>
        <w:t>А.А.</w:t>
      </w:r>
      <w:r w:rsidRPr="00211136">
        <w:rPr>
          <w:b/>
          <w:bCs/>
          <w:i/>
          <w:iCs/>
        </w:rPr>
        <w:t>, Якимова</w:t>
      </w:r>
      <w:r w:rsidR="00A428E1" w:rsidRPr="00A428E1">
        <w:rPr>
          <w:b/>
          <w:bCs/>
          <w:i/>
          <w:iCs/>
        </w:rPr>
        <w:t xml:space="preserve"> </w:t>
      </w:r>
      <w:r w:rsidR="00A428E1" w:rsidRPr="00211136">
        <w:rPr>
          <w:b/>
          <w:bCs/>
          <w:i/>
          <w:iCs/>
        </w:rPr>
        <w:t>Л.С.</w:t>
      </w:r>
      <w:r w:rsidRPr="00211136">
        <w:rPr>
          <w:b/>
          <w:bCs/>
          <w:i/>
          <w:iCs/>
        </w:rPr>
        <w:t xml:space="preserve">, </w:t>
      </w:r>
      <w:proofErr w:type="spellStart"/>
      <w:r w:rsidRPr="00211136">
        <w:rPr>
          <w:b/>
          <w:bCs/>
          <w:i/>
          <w:iCs/>
        </w:rPr>
        <w:t>Стойков</w:t>
      </w:r>
      <w:proofErr w:type="spellEnd"/>
      <w:r w:rsidR="00A428E1" w:rsidRPr="00A428E1">
        <w:rPr>
          <w:b/>
          <w:bCs/>
          <w:i/>
          <w:iCs/>
        </w:rPr>
        <w:t xml:space="preserve"> </w:t>
      </w:r>
      <w:r w:rsidR="00A428E1" w:rsidRPr="00211136">
        <w:rPr>
          <w:b/>
          <w:bCs/>
          <w:i/>
          <w:iCs/>
        </w:rPr>
        <w:t>И.И.</w:t>
      </w:r>
    </w:p>
    <w:p w:rsidR="00294772" w:rsidRDefault="00294772" w:rsidP="002947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4 курс бакалавриата</w:t>
      </w:r>
    </w:p>
    <w:p w:rsidR="00294772" w:rsidRDefault="00294772" w:rsidP="002947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Казанский (Приволжский) федеральный университет, </w:t>
      </w:r>
      <w:r>
        <w:rPr>
          <w:i/>
          <w:color w:val="000000"/>
        </w:rPr>
        <w:br/>
        <w:t>химический институт им. А.М. Бутлерова, Казань, Россия</w:t>
      </w:r>
    </w:p>
    <w:p w:rsidR="00294772" w:rsidRDefault="00294772" w:rsidP="002947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</w:rPr>
      </w:pPr>
      <w:r>
        <w:rPr>
          <w:i/>
          <w:color w:val="000000"/>
        </w:rPr>
        <w:t xml:space="preserve">E-mail: </w:t>
      </w:r>
      <w:hyperlink r:id="rId5">
        <w:r>
          <w:rPr>
            <w:i/>
            <w:color w:val="000000"/>
            <w:u w:val="single"/>
            <w:lang w:val="en-US"/>
          </w:rPr>
          <w:t>zoranderer</w:t>
        </w:r>
        <w:r>
          <w:rPr>
            <w:i/>
            <w:color w:val="000000"/>
            <w:u w:val="single"/>
          </w:rPr>
          <w:t>@yandex.ru</w:t>
        </w:r>
      </w:hyperlink>
    </w:p>
    <w:p w:rsidR="00294772" w:rsidRPr="003E00A7" w:rsidRDefault="00294772" w:rsidP="009A419D">
      <w:pPr>
        <w:ind w:firstLine="397"/>
        <w:contextualSpacing/>
        <w:jc w:val="both"/>
      </w:pPr>
      <w:r>
        <w:t xml:space="preserve">В химиотерапии онкологических заболеваний преимущественно используются противоопухолевые лекарственные препараты группы антиметаболитов. Их использование сопряжено с риском возникновения массы побочных эффектов, некоторые из которых труднопереносимы, например, </w:t>
      </w:r>
      <w:proofErr w:type="spellStart"/>
      <w:r>
        <w:t>кардиотоксичность</w:t>
      </w:r>
      <w:proofErr w:type="spellEnd"/>
      <w:r>
        <w:t xml:space="preserve">, кровотечения и нарушения со стороны кроветворной системы. Причиной тяжелых побочных реакций является </w:t>
      </w:r>
      <w:proofErr w:type="spellStart"/>
      <w:r>
        <w:t>неселективность</w:t>
      </w:r>
      <w:proofErr w:type="spellEnd"/>
      <w:r>
        <w:t xml:space="preserve"> действия препарата – активное вещество воздействует как на здоровые ткани организма, так и на поражённые. Используя адресную доставку лекарства, можно до</w:t>
      </w:r>
      <w:r w:rsidR="009A419D">
        <w:t xml:space="preserve">биться большей селективности, </w:t>
      </w:r>
      <w:r>
        <w:t>следовательно, лучшей переносимости лекарственного средства.</w:t>
      </w:r>
      <w:r w:rsidR="009A419D">
        <w:t xml:space="preserve"> Среди классических систем-«доставщиков» в последнее время выделяют твёрдые липидные наночастицы</w:t>
      </w:r>
      <w:r w:rsidR="00763888">
        <w:t xml:space="preserve"> (ТЛН)</w:t>
      </w:r>
      <w:r w:rsidR="009A419D">
        <w:t xml:space="preserve">, которые обладают высокой стабильностью, способностью увеличивать абсорбцию и повышать </w:t>
      </w:r>
      <w:proofErr w:type="spellStart"/>
      <w:r w:rsidR="009A419D">
        <w:t>биодоступность</w:t>
      </w:r>
      <w:proofErr w:type="spellEnd"/>
      <w:r w:rsidR="008459DE">
        <w:t>.</w:t>
      </w:r>
      <w:r>
        <w:t xml:space="preserve"> Для повышения избирательности действия, а также для замедленного высвобождения фармацевтической субс</w:t>
      </w:r>
      <w:r w:rsidR="00763888">
        <w:t>танции, в качестве липидной матрицы ТЛН могут быть использованы макроциклические соединения, такие как пиллар</w:t>
      </w:r>
      <w:r w:rsidR="00763888" w:rsidRPr="00763888">
        <w:t>[5]</w:t>
      </w:r>
      <w:r w:rsidR="00763888">
        <w:t>арены.</w:t>
      </w:r>
      <w:r w:rsidR="00881711">
        <w:t xml:space="preserve"> </w:t>
      </w:r>
      <w:r w:rsidR="00763888">
        <w:t xml:space="preserve">Образование комплексов «гость-хозяин» и лёгкость </w:t>
      </w:r>
      <w:proofErr w:type="spellStart"/>
      <w:r w:rsidR="00763888">
        <w:t>функционализации</w:t>
      </w:r>
      <w:proofErr w:type="spellEnd"/>
      <w:r w:rsidR="00763888">
        <w:t xml:space="preserve"> данных </w:t>
      </w:r>
      <w:proofErr w:type="spellStart"/>
      <w:r w:rsidR="00763888">
        <w:t>макроциклов</w:t>
      </w:r>
      <w:proofErr w:type="spellEnd"/>
      <w:r w:rsidR="00763888">
        <w:t xml:space="preserve"> позволяет не только увеличить число</w:t>
      </w:r>
      <w:r w:rsidR="009A4FAC">
        <w:t xml:space="preserve"> молекул, связываемых макроциклической полостью, но и повысить </w:t>
      </w:r>
      <w:proofErr w:type="spellStart"/>
      <w:r w:rsidR="009A4FAC">
        <w:t>таргетное</w:t>
      </w:r>
      <w:proofErr w:type="spellEnd"/>
      <w:r w:rsidR="009A4FAC">
        <w:t xml:space="preserve"> воздействие на клетки-«мишени».</w:t>
      </w:r>
    </w:p>
    <w:p w:rsidR="009A4FAC" w:rsidRPr="00726194" w:rsidRDefault="00294772" w:rsidP="009A4FAC">
      <w:pPr>
        <w:ind w:firstLine="397"/>
        <w:contextualSpacing/>
        <w:jc w:val="both"/>
      </w:pPr>
      <w:r w:rsidRPr="00726194">
        <w:t>В данной работе были синтезированы новые монозамещенные пиллар[5]арены, содержащие фрагменты малеинового и дигликолевого ангидридов</w:t>
      </w:r>
      <w:r w:rsidR="00E434EC">
        <w:t>,</w:t>
      </w:r>
      <w:r w:rsidRPr="00726194">
        <w:t xml:space="preserve"> </w:t>
      </w:r>
      <w:r w:rsidR="00E434EC">
        <w:t>с</w:t>
      </w:r>
      <w:r w:rsidRPr="00726194">
        <w:t xml:space="preserve">труктура </w:t>
      </w:r>
      <w:r w:rsidR="00E434EC">
        <w:t xml:space="preserve">которых </w:t>
      </w:r>
      <w:r w:rsidRPr="00726194">
        <w:t xml:space="preserve">была охарактеризована с помощью </w:t>
      </w:r>
      <w:r>
        <w:t xml:space="preserve">таких </w:t>
      </w:r>
      <w:r w:rsidRPr="00726194">
        <w:t>физико-химических методов анализа</w:t>
      </w:r>
      <w:r>
        <w:t>, как</w:t>
      </w:r>
      <w:r w:rsidRPr="00726194">
        <w:t xml:space="preserve"> ЯМР </w:t>
      </w:r>
      <w:r w:rsidRPr="003E00A7">
        <w:rPr>
          <w:vertAlign w:val="superscript"/>
        </w:rPr>
        <w:t>1</w:t>
      </w:r>
      <w:r w:rsidRPr="00726194">
        <w:t xml:space="preserve">Н, </w:t>
      </w:r>
      <w:r>
        <w:t xml:space="preserve">ЯМР </w:t>
      </w:r>
      <w:r w:rsidRPr="003E00A7">
        <w:rPr>
          <w:vertAlign w:val="superscript"/>
        </w:rPr>
        <w:t>13</w:t>
      </w:r>
      <w:r w:rsidRPr="00726194">
        <w:t>С</w:t>
      </w:r>
      <w:r>
        <w:t>,</w:t>
      </w:r>
      <w:r w:rsidRPr="00726194">
        <w:t xml:space="preserve"> ИК</w:t>
      </w:r>
      <w:r>
        <w:t>-</w:t>
      </w:r>
      <w:r w:rsidRPr="00726194">
        <w:t xml:space="preserve">спектроскопии, масс-спектрометрии, а также </w:t>
      </w:r>
      <w:r>
        <w:t xml:space="preserve">на основе </w:t>
      </w:r>
      <w:r w:rsidRPr="00726194">
        <w:t>данны</w:t>
      </w:r>
      <w:r>
        <w:t>х</w:t>
      </w:r>
      <w:r w:rsidRPr="00726194">
        <w:t xml:space="preserve"> элементного анализа. На основе полученных соединений были синтезированы ТЛН, нагруженные </w:t>
      </w:r>
      <w:r w:rsidR="00E434EC" w:rsidRPr="00726194">
        <w:t xml:space="preserve">противоопухолевым препаратом </w:t>
      </w:r>
      <w:r w:rsidRPr="00726194">
        <w:t>5-фторурацилом</w:t>
      </w:r>
      <w:r w:rsidR="00E434EC">
        <w:t>.</w:t>
      </w:r>
      <w:r w:rsidRPr="00726194">
        <w:t xml:space="preserve"> Методом динамического рассеяния света было </w:t>
      </w:r>
      <w:r w:rsidR="008459DE">
        <w:t>выявлено</w:t>
      </w:r>
      <w:r w:rsidRPr="00726194">
        <w:t xml:space="preserve">, что нагруженные ТЛН на основе макроцикла, содержащего </w:t>
      </w:r>
      <w:r w:rsidR="008459DE">
        <w:t>малеиновый фрагмент</w:t>
      </w:r>
      <w:r w:rsidRPr="00726194">
        <w:t>,</w:t>
      </w:r>
      <w:r w:rsidR="00CB1F2F">
        <w:t xml:space="preserve"> образуют полидисперсную систему, в</w:t>
      </w:r>
      <w:r w:rsidRPr="00726194">
        <w:t xml:space="preserve"> то время как добавление 5-фторурацила к раствору макроцикла с</w:t>
      </w:r>
      <w:r w:rsidR="00CB1F2F">
        <w:t xml:space="preserve"> фрагментом дигликолевого ангидрида приводит к </w:t>
      </w:r>
      <w:r w:rsidR="00CB1F2F" w:rsidRPr="00726194">
        <w:t>формир</w:t>
      </w:r>
      <w:r w:rsidR="00CB1F2F">
        <w:t>ованию</w:t>
      </w:r>
      <w:r w:rsidR="00CB1F2F" w:rsidRPr="00726194">
        <w:t xml:space="preserve"> частиц размером 125 нм, образу</w:t>
      </w:r>
      <w:r w:rsidR="00CB1F2F">
        <w:t>ющих</w:t>
      </w:r>
      <w:r w:rsidR="00CB1F2F" w:rsidRPr="00726194">
        <w:t xml:space="preserve"> стабильную монодисперсную систему (</w:t>
      </w:r>
      <w:r w:rsidR="00CB1F2F" w:rsidRPr="00726194">
        <w:rPr>
          <w:lang w:val="en-US"/>
        </w:rPr>
        <w:t>PDI</w:t>
      </w:r>
      <w:r w:rsidR="00CB1F2F" w:rsidRPr="00726194">
        <w:t>=0</w:t>
      </w:r>
      <w:r w:rsidR="008459DE">
        <w:t>.</w:t>
      </w:r>
      <w:r w:rsidR="00CB1F2F" w:rsidRPr="00726194">
        <w:t>268, ζ=-36 мВ).</w:t>
      </w:r>
      <w:r w:rsidRPr="00726194">
        <w:t xml:space="preserve"> </w:t>
      </w:r>
      <w:r w:rsidR="00B95B6B">
        <w:t>Данные</w:t>
      </w:r>
      <w:r w:rsidRPr="00726194">
        <w:t xml:space="preserve"> метода просвечивающей электронной микроскопии </w:t>
      </w:r>
      <w:r w:rsidR="00B95B6B">
        <w:t>показали</w:t>
      </w:r>
      <w:r w:rsidRPr="00726194">
        <w:t xml:space="preserve">, что все полученные ТЛН </w:t>
      </w:r>
      <w:r w:rsidR="008459DE">
        <w:t>имеют</w:t>
      </w:r>
      <w:r w:rsidRPr="00726194">
        <w:t xml:space="preserve"> сферическ</w:t>
      </w:r>
      <w:r w:rsidR="008459DE">
        <w:t>ую</w:t>
      </w:r>
      <w:r w:rsidRPr="00726194">
        <w:t xml:space="preserve"> </w:t>
      </w:r>
      <w:r w:rsidR="008459DE">
        <w:t>форму</w:t>
      </w:r>
      <w:r w:rsidRPr="00726194">
        <w:t xml:space="preserve">. </w:t>
      </w:r>
      <w:r w:rsidR="00CB1F2F">
        <w:t>Дальнейшие исследования пиллар</w:t>
      </w:r>
      <w:r w:rsidR="00CB1F2F" w:rsidRPr="00CB1F2F">
        <w:t>[</w:t>
      </w:r>
      <w:r w:rsidR="00CB1F2F">
        <w:t>5</w:t>
      </w:r>
      <w:r w:rsidR="00CB1F2F" w:rsidRPr="00CB1F2F">
        <w:t>]</w:t>
      </w:r>
      <w:r w:rsidR="00CB1F2F">
        <w:t>аренов в контексте образования ими твёрдых липидных наночастиц могут р</w:t>
      </w:r>
      <w:r w:rsidR="00176AAF">
        <w:t>асширить область их применения.</w:t>
      </w:r>
      <w:r w:rsidR="00CB1F2F">
        <w:t xml:space="preserve"> </w:t>
      </w:r>
    </w:p>
    <w:p w:rsidR="00294772" w:rsidRDefault="00887553" w:rsidP="00A428E1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887553">
        <w:rPr>
          <w:noProof/>
        </w:rPr>
        <w:drawing>
          <wp:inline distT="0" distB="0" distL="0" distR="0">
            <wp:extent cx="5471160" cy="1456126"/>
            <wp:effectExtent l="0" t="0" r="0" b="0"/>
            <wp:docPr id="3" name="Рисунок 3" descr="C:\Users\Даф\Desktop\Лаба\Альберт\Конференции\Ломоносов 2024\untitled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аф\Desktop\Лаба\Альберт\Конференции\Ломоносов 2024\untitled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212" cy="1462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772" w:rsidRPr="008459DE" w:rsidRDefault="00294772" w:rsidP="00A428E1">
      <w:pPr>
        <w:pStyle w:val="a3"/>
        <w:spacing w:after="0"/>
        <w:jc w:val="center"/>
        <w:rPr>
          <w:i w:val="0"/>
          <w:iCs w:val="0"/>
          <w:color w:val="auto"/>
          <w:sz w:val="24"/>
          <w:szCs w:val="24"/>
        </w:rPr>
      </w:pPr>
      <w:r w:rsidRPr="00A428E1">
        <w:rPr>
          <w:bCs/>
          <w:i w:val="0"/>
          <w:iCs w:val="0"/>
          <w:color w:val="auto"/>
          <w:sz w:val="24"/>
          <w:szCs w:val="24"/>
        </w:rPr>
        <w:t>Рис</w:t>
      </w:r>
      <w:r w:rsidR="00A428E1" w:rsidRPr="00A428E1">
        <w:rPr>
          <w:bCs/>
          <w:i w:val="0"/>
          <w:iCs w:val="0"/>
          <w:color w:val="auto"/>
          <w:sz w:val="24"/>
          <w:szCs w:val="24"/>
        </w:rPr>
        <w:t>.</w:t>
      </w:r>
      <w:r w:rsidRPr="00A428E1">
        <w:rPr>
          <w:bCs/>
          <w:i w:val="0"/>
          <w:iCs w:val="0"/>
          <w:color w:val="auto"/>
          <w:sz w:val="24"/>
          <w:szCs w:val="24"/>
        </w:rPr>
        <w:t xml:space="preserve"> </w:t>
      </w:r>
      <w:r w:rsidR="00FD22E1" w:rsidRPr="00A428E1">
        <w:rPr>
          <w:bCs/>
          <w:i w:val="0"/>
          <w:iCs w:val="0"/>
          <w:color w:val="auto"/>
          <w:sz w:val="24"/>
          <w:szCs w:val="24"/>
        </w:rPr>
        <w:fldChar w:fldCharType="begin"/>
      </w:r>
      <w:r w:rsidRPr="00A428E1">
        <w:rPr>
          <w:bCs/>
          <w:i w:val="0"/>
          <w:iCs w:val="0"/>
          <w:color w:val="auto"/>
          <w:sz w:val="24"/>
          <w:szCs w:val="24"/>
        </w:rPr>
        <w:instrText xml:space="preserve"> SEQ Рисунок \* ARABIC </w:instrText>
      </w:r>
      <w:r w:rsidR="00FD22E1" w:rsidRPr="00A428E1">
        <w:rPr>
          <w:bCs/>
          <w:i w:val="0"/>
          <w:iCs w:val="0"/>
          <w:color w:val="auto"/>
          <w:sz w:val="24"/>
          <w:szCs w:val="24"/>
        </w:rPr>
        <w:fldChar w:fldCharType="separate"/>
      </w:r>
      <w:r w:rsidRPr="00A428E1">
        <w:rPr>
          <w:bCs/>
          <w:i w:val="0"/>
          <w:iCs w:val="0"/>
          <w:noProof/>
          <w:color w:val="auto"/>
          <w:sz w:val="24"/>
          <w:szCs w:val="24"/>
        </w:rPr>
        <w:t>1</w:t>
      </w:r>
      <w:r w:rsidR="00FD22E1" w:rsidRPr="00A428E1">
        <w:rPr>
          <w:bCs/>
          <w:i w:val="0"/>
          <w:iCs w:val="0"/>
          <w:color w:val="auto"/>
          <w:sz w:val="24"/>
          <w:szCs w:val="24"/>
        </w:rPr>
        <w:fldChar w:fldCharType="end"/>
      </w:r>
      <w:r w:rsidR="00362ED4" w:rsidRPr="00A428E1">
        <w:rPr>
          <w:bCs/>
          <w:i w:val="0"/>
          <w:iCs w:val="0"/>
          <w:color w:val="auto"/>
          <w:sz w:val="24"/>
          <w:szCs w:val="24"/>
        </w:rPr>
        <w:t>.</w:t>
      </w:r>
      <w:r w:rsidRPr="00362ED4">
        <w:rPr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8425E0" w:rsidRPr="00362ED4">
        <w:rPr>
          <w:i w:val="0"/>
          <w:iCs w:val="0"/>
          <w:color w:val="auto"/>
          <w:sz w:val="24"/>
          <w:szCs w:val="24"/>
        </w:rPr>
        <w:t>Схема получения пиллар[5]арен</w:t>
      </w:r>
      <w:r w:rsidR="00362ED4" w:rsidRPr="00362ED4">
        <w:rPr>
          <w:i w:val="0"/>
          <w:iCs w:val="0"/>
          <w:color w:val="auto"/>
          <w:sz w:val="24"/>
          <w:szCs w:val="24"/>
        </w:rPr>
        <w:t>ов</w:t>
      </w:r>
      <w:r w:rsidR="008425E0" w:rsidRPr="00362ED4">
        <w:rPr>
          <w:i w:val="0"/>
          <w:iCs w:val="0"/>
          <w:color w:val="auto"/>
          <w:sz w:val="24"/>
          <w:szCs w:val="24"/>
        </w:rPr>
        <w:t xml:space="preserve"> с</w:t>
      </w:r>
      <w:r w:rsidR="009A4FAC">
        <w:rPr>
          <w:i w:val="0"/>
          <w:iCs w:val="0"/>
          <w:color w:val="auto"/>
          <w:sz w:val="24"/>
          <w:szCs w:val="24"/>
        </w:rPr>
        <w:t xml:space="preserve"> карбоксильными</w:t>
      </w:r>
      <w:r w:rsidR="008425E0" w:rsidRPr="00362ED4">
        <w:rPr>
          <w:i w:val="0"/>
          <w:iCs w:val="0"/>
          <w:color w:val="auto"/>
          <w:sz w:val="24"/>
          <w:szCs w:val="24"/>
        </w:rPr>
        <w:t xml:space="preserve"> фрагмент</w:t>
      </w:r>
      <w:r w:rsidR="00362ED4" w:rsidRPr="00362ED4">
        <w:rPr>
          <w:i w:val="0"/>
          <w:iCs w:val="0"/>
          <w:color w:val="auto"/>
          <w:sz w:val="24"/>
          <w:szCs w:val="24"/>
        </w:rPr>
        <w:t>ами</w:t>
      </w:r>
      <w:r w:rsidR="008459DE">
        <w:rPr>
          <w:i w:val="0"/>
          <w:iCs w:val="0"/>
          <w:color w:val="auto"/>
          <w:sz w:val="24"/>
          <w:szCs w:val="24"/>
        </w:rPr>
        <w:t>.</w:t>
      </w:r>
    </w:p>
    <w:p w:rsidR="00554B23" w:rsidRPr="00362ED4" w:rsidRDefault="00294772" w:rsidP="00362ED4">
      <w:pPr>
        <w:ind w:firstLine="397"/>
        <w:jc w:val="both"/>
        <w:rPr>
          <w:i/>
          <w:iCs/>
          <w:szCs w:val="28"/>
        </w:rPr>
      </w:pPr>
      <w:r w:rsidRPr="00157A4A">
        <w:rPr>
          <w:i/>
          <w:iCs/>
          <w:szCs w:val="28"/>
        </w:rPr>
        <w:t>Работа выполнена за счет средств Программы стратегического академического лидерства Казанского (Приволжского) федерального университета («Приоритет-2030»).</w:t>
      </w:r>
    </w:p>
    <w:sectPr w:rsidR="00554B23" w:rsidRPr="00362ED4" w:rsidSect="00DE49C9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4B23"/>
    <w:rsid w:val="00176AAF"/>
    <w:rsid w:val="00294772"/>
    <w:rsid w:val="00362ED4"/>
    <w:rsid w:val="003E3EC4"/>
    <w:rsid w:val="003F61E5"/>
    <w:rsid w:val="004638AD"/>
    <w:rsid w:val="00520CB9"/>
    <w:rsid w:val="00554B23"/>
    <w:rsid w:val="00763888"/>
    <w:rsid w:val="00810EC2"/>
    <w:rsid w:val="008425E0"/>
    <w:rsid w:val="008459DE"/>
    <w:rsid w:val="00881711"/>
    <w:rsid w:val="00887553"/>
    <w:rsid w:val="009A419D"/>
    <w:rsid w:val="009A4FAC"/>
    <w:rsid w:val="00A428E1"/>
    <w:rsid w:val="00B25FF1"/>
    <w:rsid w:val="00B95B6B"/>
    <w:rsid w:val="00CB1F2F"/>
    <w:rsid w:val="00D96D28"/>
    <w:rsid w:val="00DE49C9"/>
    <w:rsid w:val="00E434EC"/>
    <w:rsid w:val="00FD2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294772"/>
    <w:pPr>
      <w:spacing w:after="200"/>
    </w:pPr>
    <w:rPr>
      <w:i/>
      <w:iCs/>
      <w:color w:val="44546A" w:themeColor="text2"/>
      <w:sz w:val="18"/>
      <w:szCs w:val="18"/>
    </w:rPr>
  </w:style>
  <w:style w:type="character" w:styleId="a4">
    <w:name w:val="annotation reference"/>
    <w:basedOn w:val="a0"/>
    <w:uiPriority w:val="99"/>
    <w:semiHidden/>
    <w:unhideWhenUsed/>
    <w:rsid w:val="00E434E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434EC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43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434E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43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434E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434E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mailto:ivanov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AB6F1-BE37-42C9-9DEA-BE1663724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Альберт Шамсутдинов</dc:creator>
  <cp:lastModifiedBy>Tatiana Dubinina</cp:lastModifiedBy>
  <cp:revision>2</cp:revision>
  <dcterms:created xsi:type="dcterms:W3CDTF">2024-03-11T00:21:00Z</dcterms:created>
  <dcterms:modified xsi:type="dcterms:W3CDTF">2024-03-11T00:21:00Z</dcterms:modified>
</cp:coreProperties>
</file>