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Внутренне хиральные каликсарены, содержащие амино- и триазольные группы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Алексеев И.С., Вацуро И.М.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Аспирант 1-го года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Московский государственный университет имени М.В.Ломоносова,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химический факультет,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alekseevivansergeevich@mail.ru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Разработка способов получения энантиомерно чистых соединений является чрезвычайно важной задачей современной органической химии. Перспективным путем ее решения является конструирование на основе макроциклических систем, в частности, каликсаренов, хиральных рецепторных молекул, способных к эффективной энантиодискриминации двух оптических изомеров. Такие системы могут быть использованы как для создания энантиоселективных катализаторов, так и напрямую, в качестве молекул-«хозяев» для распознавания и разделения смесей энантиомеров.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настоящем исследовании разработаны способы получения энантиомеров оптически  активных  каликс[4]аренов, обладающих внутренней (inherent) хиральностью за счет асимметрического расположения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-бутильной, амино- и триазольных групп на верхнем ободе макроцикла. Для создания асимметричного расположения заместителей в каликсареновом макроцикле использовано селективное введение одной или двух защитных групп в каликс[4]арен, содержащий три амино- и одну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-бутильную группы, и последующие трансформации аминогрупп  в  азидные  и триазольные. На промежуточных стадиях синтеза в структуры каликсаренов вводили вспомогательные хиральные фрагменты, полученные  смеси  диастереомеров  разделяли с использованием колоночной хроматографии, и, после удаления вспомогательгных групп, получали энантиомеры оптически активных целевых каликсаренов.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5830570" cy="31642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0570" cy="3164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 ожидается, амино- и триазольные группы в структурах разработанных каликсаренов будут способствовать энантиоселективному связыванию ими оптически активных молекул-«гостей» за счет водородных связей, стекинговых взаимодействий и стерических факторов. Наличие свободных аминогрупп, при этом, позволит тонко настраивать рецепторные свойства внутренне хиральных каликсаренов при синтезах мочевин, амидов и иминов без необходимости  разделения  смесей энантиомеров.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Исследование выполнено при поддержке Российского научного фонда, проект № 24-23-00158.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lekseevivansergeevich@mail.ru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