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ACFE" w14:textId="5C301626" w:rsidR="007F4D82" w:rsidRPr="007F4D82" w:rsidRDefault="007F4D82" w:rsidP="007F4D82">
      <w:pPr>
        <w:spacing w:after="0" w:line="240" w:lineRule="auto"/>
        <w:ind w:left="0" w:right="0" w:firstLine="0"/>
        <w:jc w:val="center"/>
        <w:rPr>
          <w:b/>
          <w:iCs/>
        </w:rPr>
      </w:pPr>
      <w:bookmarkStart w:id="0" w:name="_Hlk160131127"/>
      <w:r w:rsidRPr="007F4D82">
        <w:rPr>
          <w:b/>
          <w:iCs/>
        </w:rPr>
        <w:t>С</w:t>
      </w:r>
      <w:r>
        <w:rPr>
          <w:b/>
          <w:iCs/>
        </w:rPr>
        <w:t>интез новых производных</w:t>
      </w:r>
      <w:r w:rsidRPr="007F4D82">
        <w:rPr>
          <w:b/>
          <w:iCs/>
        </w:rPr>
        <w:t xml:space="preserve"> </w:t>
      </w:r>
      <w:r>
        <w:rPr>
          <w:b/>
          <w:iCs/>
        </w:rPr>
        <w:t>3-бензил-1,5-диметил-</w:t>
      </w:r>
      <w:r w:rsidRPr="007F4D82">
        <w:rPr>
          <w:b/>
          <w:iCs/>
        </w:rPr>
        <w:t>3,7-диазабицикло[3.3.1]нонан</w:t>
      </w:r>
      <w:r>
        <w:rPr>
          <w:b/>
          <w:iCs/>
        </w:rPr>
        <w:t>а</w:t>
      </w:r>
    </w:p>
    <w:p w14:paraId="0C08CB22" w14:textId="5F1F58D6" w:rsidR="00317556" w:rsidRPr="00E47CD0" w:rsidRDefault="00317556" w:rsidP="007F4D82">
      <w:pPr>
        <w:spacing w:after="0" w:line="240" w:lineRule="auto"/>
        <w:ind w:left="0" w:right="0" w:firstLine="0"/>
        <w:jc w:val="center"/>
        <w:rPr>
          <w:bCs/>
          <w:i/>
        </w:rPr>
      </w:pPr>
      <w:bookmarkStart w:id="1" w:name="_Hlk160131143"/>
      <w:bookmarkEnd w:id="0"/>
      <w:r>
        <w:rPr>
          <w:b/>
          <w:i/>
        </w:rPr>
        <w:t>Арсентьева Е.К.,</w:t>
      </w:r>
      <w:r w:rsidR="00E47CD0">
        <w:rPr>
          <w:b/>
          <w:i/>
        </w:rPr>
        <w:t xml:space="preserve"> </w:t>
      </w:r>
      <w:r w:rsidR="00E47CD0" w:rsidRPr="00E47CD0">
        <w:rPr>
          <w:b/>
          <w:i/>
        </w:rPr>
        <w:t>Веремеева П.Н.</w:t>
      </w:r>
    </w:p>
    <w:p w14:paraId="48658B20" w14:textId="7CEAF777" w:rsidR="00317556" w:rsidRPr="00317556" w:rsidRDefault="00317556" w:rsidP="007F4D82">
      <w:pPr>
        <w:spacing w:after="0" w:line="240" w:lineRule="auto"/>
        <w:ind w:left="0" w:right="0" w:firstLine="0"/>
        <w:jc w:val="center"/>
        <w:rPr>
          <w:i/>
          <w:iCs/>
        </w:rPr>
      </w:pPr>
      <w:r w:rsidRPr="00317556">
        <w:rPr>
          <w:i/>
          <w:iCs/>
        </w:rPr>
        <w:t>Студент, 4 курс специалитета.</w:t>
      </w:r>
    </w:p>
    <w:p w14:paraId="7A97382B" w14:textId="4F301932" w:rsidR="00317556" w:rsidRDefault="00317556" w:rsidP="007F4D82">
      <w:pPr>
        <w:spacing w:after="0" w:line="240" w:lineRule="auto"/>
        <w:ind w:left="0" w:right="0" w:firstLine="0"/>
        <w:jc w:val="center"/>
      </w:pPr>
      <w:r>
        <w:rPr>
          <w:i/>
        </w:rPr>
        <w:t>Московский государственный университет имени М. В. Ломоносова,</w:t>
      </w:r>
      <w:r>
        <w:rPr>
          <w:i/>
        </w:rPr>
        <w:br/>
        <w:t xml:space="preserve">химический факультет, Москва, Россия. </w:t>
      </w:r>
      <w:r>
        <w:t xml:space="preserve"> </w:t>
      </w:r>
    </w:p>
    <w:p w14:paraId="1652B8E4" w14:textId="58CD9784" w:rsidR="00317556" w:rsidRPr="00317556" w:rsidRDefault="00317556" w:rsidP="007F4D82">
      <w:pPr>
        <w:spacing w:after="0" w:line="240" w:lineRule="auto"/>
        <w:ind w:left="0" w:right="0" w:firstLine="0"/>
        <w:jc w:val="center"/>
        <w:rPr>
          <w:u w:val="single"/>
          <w:lang w:val="en-US"/>
        </w:rPr>
      </w:pPr>
      <w:r w:rsidRPr="00CB137A">
        <w:rPr>
          <w:i/>
          <w:lang w:val="en-US"/>
        </w:rPr>
        <w:t>E</w:t>
      </w:r>
      <w:r w:rsidRPr="00317556">
        <w:rPr>
          <w:i/>
          <w:lang w:val="en-US"/>
        </w:rPr>
        <w:t>-</w:t>
      </w:r>
      <w:r w:rsidRPr="00CB137A">
        <w:rPr>
          <w:i/>
          <w:lang w:val="en-US"/>
        </w:rPr>
        <w:t>mail</w:t>
      </w:r>
      <w:r w:rsidRPr="00317556">
        <w:rPr>
          <w:i/>
          <w:lang w:val="en-US"/>
        </w:rPr>
        <w:t xml:space="preserve">: </w:t>
      </w:r>
      <w:r w:rsidRPr="00317556">
        <w:rPr>
          <w:i/>
          <w:u w:val="single"/>
          <w:lang w:val="en-US"/>
        </w:rPr>
        <w:t>elizaveta.arsenteva@chemistry.msu.ru</w:t>
      </w:r>
    </w:p>
    <w:p w14:paraId="0DD8ED67" w14:textId="2D8FB1A2" w:rsidR="00D032A7" w:rsidRDefault="00BD3ED0" w:rsidP="007F4D82">
      <w:pPr>
        <w:shd w:val="clear" w:color="auto" w:fill="FFFFFF"/>
        <w:spacing w:after="0" w:line="240" w:lineRule="auto"/>
        <w:ind w:left="0" w:right="0" w:firstLine="397"/>
      </w:pPr>
      <w:bookmarkStart w:id="2" w:name="_Hlk160131210"/>
      <w:bookmarkStart w:id="3" w:name="_Hlk160131179"/>
      <w:bookmarkEnd w:id="1"/>
      <w:r>
        <w:rPr>
          <w:color w:val="222222"/>
          <w:szCs w:val="24"/>
        </w:rPr>
        <w:t>Поиск</w:t>
      </w:r>
      <w:r w:rsidR="00C44619" w:rsidRPr="00C44619">
        <w:rPr>
          <w:color w:val="222222"/>
          <w:szCs w:val="24"/>
        </w:rPr>
        <w:t xml:space="preserve"> и синтез лигандов глутаматных рецепторов является важным и перспективным направлением в медицинской химии. </w:t>
      </w:r>
      <w:r w:rsidR="00B16CFE">
        <w:rPr>
          <w:color w:val="222222"/>
          <w:szCs w:val="24"/>
        </w:rPr>
        <w:t>Г</w:t>
      </w:r>
      <w:r w:rsidR="00B16CFE" w:rsidRPr="00B16CFE">
        <w:rPr>
          <w:color w:val="222222"/>
          <w:szCs w:val="24"/>
        </w:rPr>
        <w:t xml:space="preserve">лутамат </w:t>
      </w:r>
      <w:r w:rsidR="00B16CFE">
        <w:rPr>
          <w:color w:val="222222"/>
          <w:szCs w:val="24"/>
        </w:rPr>
        <w:t xml:space="preserve">– </w:t>
      </w:r>
      <w:r w:rsidR="00B16CFE" w:rsidRPr="00B16CFE">
        <w:rPr>
          <w:color w:val="222222"/>
          <w:szCs w:val="24"/>
        </w:rPr>
        <w:t>основной нейромедиатор симпатической нервной системы</w:t>
      </w:r>
      <w:r w:rsidR="00B16CFE">
        <w:rPr>
          <w:color w:val="222222"/>
          <w:szCs w:val="24"/>
        </w:rPr>
        <w:t>. И</w:t>
      </w:r>
      <w:r w:rsidR="00B16CFE" w:rsidRPr="00B16CFE">
        <w:rPr>
          <w:color w:val="222222"/>
          <w:szCs w:val="24"/>
        </w:rPr>
        <w:t>онотропные глутаматные</w:t>
      </w:r>
      <w:r w:rsidR="00B16CFE">
        <w:rPr>
          <w:color w:val="222222"/>
          <w:szCs w:val="24"/>
        </w:rPr>
        <w:t xml:space="preserve"> </w:t>
      </w:r>
      <w:r w:rsidR="00B16CFE" w:rsidRPr="00B16CFE">
        <w:rPr>
          <w:color w:val="222222"/>
          <w:szCs w:val="24"/>
        </w:rPr>
        <w:t xml:space="preserve">рецепторы подразделяют на три </w:t>
      </w:r>
      <w:r w:rsidR="00B16CFE">
        <w:rPr>
          <w:color w:val="222222"/>
          <w:szCs w:val="24"/>
        </w:rPr>
        <w:t>типа</w:t>
      </w:r>
      <w:r w:rsidR="00B16CFE" w:rsidRPr="00B16CFE">
        <w:rPr>
          <w:color w:val="222222"/>
          <w:szCs w:val="24"/>
        </w:rPr>
        <w:t>,</w:t>
      </w:r>
      <w:r w:rsidR="00B16CFE">
        <w:rPr>
          <w:color w:val="222222"/>
          <w:szCs w:val="24"/>
        </w:rPr>
        <w:t xml:space="preserve"> </w:t>
      </w:r>
      <w:r w:rsidR="00B16CFE" w:rsidRPr="00B16CFE">
        <w:rPr>
          <w:color w:val="222222"/>
          <w:szCs w:val="24"/>
        </w:rPr>
        <w:t>названные по их селективным агонистам</w:t>
      </w:r>
      <w:r w:rsidR="00B16CFE">
        <w:rPr>
          <w:color w:val="222222"/>
          <w:szCs w:val="24"/>
        </w:rPr>
        <w:t xml:space="preserve">: </w:t>
      </w:r>
      <w:r w:rsidR="00B16CFE" w:rsidRPr="00B16CFE">
        <w:rPr>
          <w:color w:val="222222"/>
          <w:szCs w:val="24"/>
        </w:rPr>
        <w:t>α-амино-3-гидрокси-5-метил-4-изоксазолпропионовой</w:t>
      </w:r>
      <w:r w:rsidR="00B16CFE">
        <w:rPr>
          <w:color w:val="222222"/>
          <w:szCs w:val="24"/>
        </w:rPr>
        <w:t xml:space="preserve"> </w:t>
      </w:r>
      <w:r w:rsidR="00B16CFE" w:rsidRPr="00B16CFE">
        <w:rPr>
          <w:color w:val="222222"/>
          <w:szCs w:val="24"/>
        </w:rPr>
        <w:t>кислоте (AMPA), N-метил-D-аспарагиновой кислоте</w:t>
      </w:r>
      <w:r w:rsidR="00B16CFE">
        <w:rPr>
          <w:color w:val="222222"/>
          <w:szCs w:val="24"/>
        </w:rPr>
        <w:t xml:space="preserve"> </w:t>
      </w:r>
      <w:r w:rsidR="00B16CFE" w:rsidRPr="00B16CFE">
        <w:rPr>
          <w:color w:val="222222"/>
          <w:szCs w:val="24"/>
        </w:rPr>
        <w:t>(NMDA) и каиновой кислоте (KA)</w:t>
      </w:r>
      <w:r w:rsidR="000B3B56">
        <w:rPr>
          <w:color w:val="222222"/>
          <w:szCs w:val="24"/>
        </w:rPr>
        <w:t xml:space="preserve">. Известно, что </w:t>
      </w:r>
      <w:r w:rsidR="000B3B56" w:rsidRPr="000B3B56">
        <w:rPr>
          <w:color w:val="222222"/>
          <w:szCs w:val="24"/>
        </w:rPr>
        <w:t>AMPA-рецепторы играют</w:t>
      </w:r>
      <w:r w:rsidR="000B3B56">
        <w:rPr>
          <w:color w:val="222222"/>
          <w:szCs w:val="24"/>
        </w:rPr>
        <w:t xml:space="preserve"> </w:t>
      </w:r>
      <w:r w:rsidR="000B3B56" w:rsidRPr="000B3B56">
        <w:rPr>
          <w:color w:val="222222"/>
          <w:szCs w:val="24"/>
        </w:rPr>
        <w:t>ключевую роль в передаче информации и когнитивных процессах,</w:t>
      </w:r>
      <w:r w:rsidR="000B3B56">
        <w:rPr>
          <w:color w:val="222222"/>
          <w:szCs w:val="24"/>
        </w:rPr>
        <w:t xml:space="preserve"> </w:t>
      </w:r>
      <w:r w:rsidR="000B3B56" w:rsidRPr="000B3B56">
        <w:rPr>
          <w:color w:val="222222"/>
          <w:szCs w:val="24"/>
        </w:rPr>
        <w:t>а также в механизме формирования памяти</w:t>
      </w:r>
      <w:r w:rsidR="000B3B56">
        <w:rPr>
          <w:color w:val="222222"/>
          <w:szCs w:val="24"/>
        </w:rPr>
        <w:t xml:space="preserve">. </w:t>
      </w:r>
      <w:r w:rsidR="006800D4">
        <w:rPr>
          <w:color w:val="222222"/>
          <w:szCs w:val="24"/>
        </w:rPr>
        <w:t xml:space="preserve">Кроме того, </w:t>
      </w:r>
      <w:r w:rsidR="004C1C44">
        <w:rPr>
          <w:color w:val="222222"/>
          <w:szCs w:val="24"/>
        </w:rPr>
        <w:t>модуляторы данных рецепторов</w:t>
      </w:r>
      <w:r w:rsidR="004948DA">
        <w:t xml:space="preserve"> </w:t>
      </w:r>
      <w:r w:rsidR="004C1C44">
        <w:t>представляют особый интерес в качестве потенциальных</w:t>
      </w:r>
      <w:r w:rsidR="006800D4">
        <w:t xml:space="preserve"> лекарственных средств для лечения или коррекции нейродегенеративных и психоневрологических заболеваний.</w:t>
      </w:r>
      <w:r w:rsidR="004C1C44">
        <w:rPr>
          <w:color w:val="222222"/>
          <w:szCs w:val="24"/>
        </w:rPr>
        <w:t xml:space="preserve"> </w:t>
      </w:r>
      <w:r w:rsidR="00D032A7">
        <w:t xml:space="preserve">Ранее нами было показано, что соединения на основе 3,7-диазабицикло[3.3.1]нонанового </w:t>
      </w:r>
      <w:r w:rsidR="00D4203C">
        <w:t>каркаса</w:t>
      </w:r>
      <w:r w:rsidR="00D032A7">
        <w:t xml:space="preserve"> проявляют положительную модуляторную активность по отношению к </w:t>
      </w:r>
      <w:r w:rsidR="00D032A7">
        <w:rPr>
          <w:lang w:val="en-US"/>
        </w:rPr>
        <w:t>AMPA</w:t>
      </w:r>
      <w:r w:rsidR="00D032A7">
        <w:t>-рецепторам [1</w:t>
      </w:r>
      <w:r w:rsidR="00D4203C">
        <w:t>, 2</w:t>
      </w:r>
      <w:r w:rsidR="00D032A7">
        <w:t>]. В связи с этим представляются важными синтез и исследование соединений данного класса.</w:t>
      </w:r>
    </w:p>
    <w:bookmarkEnd w:id="2"/>
    <w:p w14:paraId="375067A6" w14:textId="56183646" w:rsidR="006841BD" w:rsidRDefault="006841BD" w:rsidP="00D4203C">
      <w:pPr>
        <w:spacing w:after="0" w:line="240" w:lineRule="auto"/>
        <w:ind w:left="0" w:right="0" w:firstLine="397"/>
        <w:jc w:val="center"/>
      </w:pPr>
      <w:r w:rsidRPr="006841BD">
        <w:rPr>
          <w:noProof/>
          <w:color w:val="222222"/>
          <w:szCs w:val="24"/>
        </w:rPr>
        <w:drawing>
          <wp:inline distT="0" distB="0" distL="0" distR="0" wp14:anchorId="5221E1F7" wp14:editId="1ECE32B0">
            <wp:extent cx="1657350" cy="1852470"/>
            <wp:effectExtent l="0" t="0" r="0" b="0"/>
            <wp:docPr id="19348584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584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9646" cy="1910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28CCA" w14:textId="38F326AD" w:rsidR="006841BD" w:rsidRPr="00D032A7" w:rsidRDefault="006841BD" w:rsidP="006841BD">
      <w:pPr>
        <w:shd w:val="clear" w:color="auto" w:fill="FFFFFF"/>
        <w:ind w:firstLine="397"/>
        <w:jc w:val="center"/>
      </w:pPr>
      <w:r>
        <w:t xml:space="preserve">Рис. 1. </w:t>
      </w:r>
      <w:r w:rsidRPr="000B3B56">
        <w:rPr>
          <w:color w:val="222222"/>
          <w:szCs w:val="24"/>
        </w:rPr>
        <w:t>AMPA-рецептор</w:t>
      </w:r>
      <w:r w:rsidRPr="00D032A7">
        <w:rPr>
          <w:color w:val="222222"/>
          <w:szCs w:val="24"/>
        </w:rPr>
        <w:t xml:space="preserve"> [1]</w:t>
      </w:r>
    </w:p>
    <w:p w14:paraId="551C2F1F" w14:textId="289AA5D2" w:rsidR="00317556" w:rsidRDefault="00C44619" w:rsidP="008129B9">
      <w:pPr>
        <w:spacing w:after="0" w:line="240" w:lineRule="auto"/>
        <w:ind w:left="0" w:right="0" w:firstLine="397"/>
      </w:pPr>
      <w:r w:rsidRPr="00C44619">
        <w:t>Настоящая работа посвящена синтезу производн</w:t>
      </w:r>
      <w:r w:rsidR="00BD3ED0">
        <w:t>ых</w:t>
      </w:r>
      <w:r w:rsidRPr="00C44619">
        <w:t xml:space="preserve"> с несимметричными заместителями у атомов азота</w:t>
      </w:r>
      <w:r w:rsidR="00E77031">
        <w:t xml:space="preserve">: бензильным, а </w:t>
      </w:r>
      <w:r w:rsidR="005E75FB">
        <w:t>также</w:t>
      </w:r>
      <w:r w:rsidR="00E77031">
        <w:t xml:space="preserve"> заместителем </w:t>
      </w:r>
      <w:r w:rsidR="00271620">
        <w:t>из группы конденсированных гетероцикл</w:t>
      </w:r>
      <w:r w:rsidR="005E75FB">
        <w:t xml:space="preserve">ических соединений </w:t>
      </w:r>
      <w:r w:rsidR="00271620">
        <w:t>(</w:t>
      </w:r>
      <w:r w:rsidR="00271620">
        <w:rPr>
          <w:lang w:val="en-US"/>
        </w:rPr>
        <w:t>R</w:t>
      </w:r>
      <w:r w:rsidR="005E75FB" w:rsidRPr="005E75FB">
        <w:t xml:space="preserve"> </w:t>
      </w:r>
      <w:r w:rsidR="00271620" w:rsidRPr="00271620">
        <w:t>=</w:t>
      </w:r>
      <w:r w:rsidR="00271620">
        <w:t xml:space="preserve"> </w:t>
      </w:r>
      <w:r w:rsidR="00271620">
        <w:rPr>
          <w:lang w:val="en-US"/>
        </w:rPr>
        <w:t>Het</w:t>
      </w:r>
      <w:r w:rsidR="005E75FB">
        <w:rPr>
          <w:lang w:val="en-US"/>
        </w:rPr>
        <w:t>a</w:t>
      </w:r>
      <w:r w:rsidR="00271620">
        <w:rPr>
          <w:lang w:val="en-US"/>
        </w:rPr>
        <w:t>r</w:t>
      </w:r>
      <w:r w:rsidR="005E75FB">
        <w:rPr>
          <w:lang w:val="en-US"/>
        </w:rPr>
        <w:t>yl</w:t>
      </w:r>
      <w:r w:rsidR="00271620" w:rsidRPr="00271620">
        <w:t>)</w:t>
      </w:r>
      <w:r w:rsidRPr="00C44619">
        <w:t xml:space="preserve"> (схема 1), и изучению </w:t>
      </w:r>
      <w:r w:rsidR="00515DC2">
        <w:t>их</w:t>
      </w:r>
      <w:r w:rsidRPr="00C44619">
        <w:t xml:space="preserve"> свойств.</w:t>
      </w:r>
    </w:p>
    <w:p w14:paraId="5AEC9CA1" w14:textId="0B2CE196" w:rsidR="00E47CD0" w:rsidRDefault="00515DC2" w:rsidP="00E47CD0">
      <w:pPr>
        <w:keepNext/>
        <w:ind w:left="-15" w:right="-10" w:firstLine="394"/>
        <w:jc w:val="center"/>
      </w:pPr>
      <w:r w:rsidRPr="00515DC2">
        <w:rPr>
          <w:noProof/>
        </w:rPr>
        <w:drawing>
          <wp:inline distT="0" distB="0" distL="0" distR="0" wp14:anchorId="53D6E7D2" wp14:editId="28EF9087">
            <wp:extent cx="4529137" cy="915988"/>
            <wp:effectExtent l="0" t="0" r="5080" b="0"/>
            <wp:docPr id="709879267" name="Рисунок 1" descr="Изображение выглядит как диаграмма, зарисовка, линия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79267" name="Рисунок 1" descr="Изображение выглядит как диаграмма, зарисовка, линия, белый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912" cy="94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7B9A5" w14:textId="631F86C0" w:rsidR="00E47CD0" w:rsidRDefault="00E47CD0" w:rsidP="00E47CD0">
      <w:pPr>
        <w:pStyle w:val="ae"/>
        <w:spacing w:after="0"/>
        <w:ind w:left="369" w:right="6" w:hanging="369"/>
        <w:jc w:val="center"/>
        <w:rPr>
          <w:i w:val="0"/>
          <w:iCs w:val="0"/>
          <w:color w:val="auto"/>
          <w:sz w:val="24"/>
          <w:szCs w:val="24"/>
        </w:rPr>
      </w:pPr>
      <w:r w:rsidRPr="00E47CD0">
        <w:rPr>
          <w:i w:val="0"/>
          <w:iCs w:val="0"/>
          <w:color w:val="auto"/>
          <w:sz w:val="24"/>
          <w:szCs w:val="24"/>
        </w:rPr>
        <w:t xml:space="preserve">Схема </w:t>
      </w:r>
      <w:r w:rsidRPr="00E47CD0">
        <w:rPr>
          <w:i w:val="0"/>
          <w:iCs w:val="0"/>
          <w:color w:val="auto"/>
          <w:sz w:val="24"/>
          <w:szCs w:val="24"/>
        </w:rPr>
        <w:fldChar w:fldCharType="begin"/>
      </w:r>
      <w:r w:rsidRPr="00E47CD0">
        <w:rPr>
          <w:i w:val="0"/>
          <w:iCs w:val="0"/>
          <w:color w:val="auto"/>
          <w:sz w:val="24"/>
          <w:szCs w:val="24"/>
        </w:rPr>
        <w:instrText xml:space="preserve"> SEQ Схема \* ARABIC </w:instrText>
      </w:r>
      <w:r w:rsidRPr="00E47CD0">
        <w:rPr>
          <w:i w:val="0"/>
          <w:iCs w:val="0"/>
          <w:color w:val="auto"/>
          <w:sz w:val="24"/>
          <w:szCs w:val="24"/>
        </w:rPr>
        <w:fldChar w:fldCharType="separate"/>
      </w:r>
      <w:r w:rsidRPr="00E47CD0">
        <w:rPr>
          <w:i w:val="0"/>
          <w:iCs w:val="0"/>
          <w:noProof/>
          <w:color w:val="auto"/>
          <w:sz w:val="24"/>
          <w:szCs w:val="24"/>
        </w:rPr>
        <w:t>1</w:t>
      </w:r>
      <w:r w:rsidRPr="00E47CD0">
        <w:rPr>
          <w:i w:val="0"/>
          <w:iCs w:val="0"/>
          <w:color w:val="auto"/>
          <w:sz w:val="24"/>
          <w:szCs w:val="24"/>
        </w:rPr>
        <w:fldChar w:fldCharType="end"/>
      </w:r>
      <w:r w:rsidR="004948DA">
        <w:rPr>
          <w:i w:val="0"/>
          <w:iCs w:val="0"/>
          <w:color w:val="auto"/>
          <w:sz w:val="24"/>
          <w:szCs w:val="24"/>
        </w:rPr>
        <w:t>. Общая схема синтеза производных</w:t>
      </w:r>
    </w:p>
    <w:p w14:paraId="1829E35F" w14:textId="65B9B777" w:rsidR="00E47CD0" w:rsidRPr="00914169" w:rsidRDefault="00914169" w:rsidP="008129B9">
      <w:pPr>
        <w:spacing w:after="0" w:line="240" w:lineRule="auto"/>
        <w:ind w:left="0" w:right="0" w:firstLine="397"/>
      </w:pPr>
      <w:r>
        <w:t>Строение целев</w:t>
      </w:r>
      <w:r w:rsidR="00D032A7">
        <w:t>ых</w:t>
      </w:r>
      <w:r>
        <w:t xml:space="preserve"> молекул подтверждено </w:t>
      </w:r>
      <w:r w:rsidRPr="00914169">
        <w:rPr>
          <w:vertAlign w:val="superscript"/>
        </w:rPr>
        <w:t>1</w:t>
      </w:r>
      <w:r>
        <w:rPr>
          <w:lang w:val="en-US"/>
        </w:rPr>
        <w:t>H</w:t>
      </w:r>
      <w:r w:rsidRPr="00914169">
        <w:t xml:space="preserve"> </w:t>
      </w:r>
      <w:r>
        <w:t>ЯМР спектроскопи</w:t>
      </w:r>
      <w:r w:rsidR="00D032A7">
        <w:t>ей</w:t>
      </w:r>
      <w:r>
        <w:t xml:space="preserve">, </w:t>
      </w:r>
      <w:r w:rsidR="006841BD" w:rsidRPr="006841BD">
        <w:t>рентгеноструктурн</w:t>
      </w:r>
      <w:r w:rsidR="006841BD">
        <w:t xml:space="preserve">ым </w:t>
      </w:r>
      <w:r w:rsidR="006841BD" w:rsidRPr="006841BD">
        <w:t>анализ</w:t>
      </w:r>
      <w:r w:rsidR="006841BD">
        <w:t>ом и</w:t>
      </w:r>
      <w:r w:rsidR="00C30F60">
        <w:t xml:space="preserve"> </w:t>
      </w:r>
      <w:r w:rsidR="00C30F60" w:rsidRPr="00C30F60">
        <w:t>масс-спектрометри</w:t>
      </w:r>
      <w:r w:rsidR="006841BD">
        <w:t>ей</w:t>
      </w:r>
      <w:r w:rsidR="00C30F60" w:rsidRPr="00C30F60">
        <w:t xml:space="preserve"> высокого разрешения</w:t>
      </w:r>
      <w:r w:rsidR="00C30F60">
        <w:t>.</w:t>
      </w:r>
    </w:p>
    <w:p w14:paraId="26C0F040" w14:textId="4EDF407A" w:rsidR="00317556" w:rsidRPr="00BB5337" w:rsidRDefault="00317556" w:rsidP="008129B9">
      <w:pPr>
        <w:spacing w:after="0" w:line="240" w:lineRule="auto"/>
        <w:ind w:right="0"/>
        <w:jc w:val="center"/>
        <w:rPr>
          <w:lang w:val="en-US"/>
        </w:rPr>
      </w:pPr>
      <w:r>
        <w:rPr>
          <w:b/>
        </w:rPr>
        <w:t>Литература</w:t>
      </w:r>
    </w:p>
    <w:p w14:paraId="1BB3EEB8" w14:textId="41C37C22" w:rsidR="00BB5337" w:rsidRPr="00873F25" w:rsidRDefault="00BB5337" w:rsidP="008129B9">
      <w:pPr>
        <w:numPr>
          <w:ilvl w:val="0"/>
          <w:numId w:val="1"/>
        </w:numPr>
        <w:spacing w:after="0" w:line="240" w:lineRule="auto"/>
        <w:ind w:left="397" w:right="0" w:hanging="397"/>
        <w:rPr>
          <w:lang w:val="en-US"/>
        </w:rPr>
      </w:pPr>
      <w:r w:rsidRPr="00BB5337">
        <w:rPr>
          <w:lang w:val="en-US"/>
        </w:rPr>
        <w:t>Radchenko E</w:t>
      </w:r>
      <w:r>
        <w:rPr>
          <w:lang w:val="en-US"/>
        </w:rPr>
        <w:t>.</w:t>
      </w:r>
      <w:r w:rsidRPr="00BB5337">
        <w:rPr>
          <w:lang w:val="en-US"/>
        </w:rPr>
        <w:t>V</w:t>
      </w:r>
      <w:r>
        <w:rPr>
          <w:lang w:val="en-US"/>
        </w:rPr>
        <w:t>.</w:t>
      </w:r>
      <w:r w:rsidRPr="00BB5337">
        <w:rPr>
          <w:lang w:val="en-US"/>
        </w:rPr>
        <w:t>,</w:t>
      </w:r>
      <w:r>
        <w:rPr>
          <w:lang w:val="en-US"/>
        </w:rPr>
        <w:t xml:space="preserve"> </w:t>
      </w:r>
      <w:r w:rsidRPr="00BB5337">
        <w:rPr>
          <w:lang w:val="en-US"/>
        </w:rPr>
        <w:t>Tarakanova A</w:t>
      </w:r>
      <w:r>
        <w:rPr>
          <w:lang w:val="en-US"/>
        </w:rPr>
        <w:t>.</w:t>
      </w:r>
      <w:r w:rsidRPr="00BB5337">
        <w:rPr>
          <w:lang w:val="en-US"/>
        </w:rPr>
        <w:t>S</w:t>
      </w:r>
      <w:r>
        <w:rPr>
          <w:lang w:val="en-US"/>
        </w:rPr>
        <w:t>.</w:t>
      </w:r>
      <w:r w:rsidRPr="00BB5337">
        <w:rPr>
          <w:lang w:val="en-US"/>
        </w:rPr>
        <w:t>, Karlov D</w:t>
      </w:r>
      <w:r>
        <w:rPr>
          <w:lang w:val="en-US"/>
        </w:rPr>
        <w:t>.</w:t>
      </w:r>
      <w:r w:rsidRPr="00BB5337">
        <w:rPr>
          <w:lang w:val="en-US"/>
        </w:rPr>
        <w:t>S</w:t>
      </w:r>
      <w:r>
        <w:rPr>
          <w:lang w:val="en-US"/>
        </w:rPr>
        <w:t>.</w:t>
      </w:r>
      <w:r w:rsidRPr="00BB5337">
        <w:rPr>
          <w:lang w:val="en-US"/>
        </w:rPr>
        <w:t xml:space="preserve">, Lavrov </w:t>
      </w:r>
      <w:r>
        <w:rPr>
          <w:lang w:val="en-US"/>
        </w:rPr>
        <w:t>M.I.</w:t>
      </w:r>
      <w:r w:rsidRPr="00BB5337">
        <w:rPr>
          <w:lang w:val="en-US"/>
        </w:rPr>
        <w:t>, Palyulin</w:t>
      </w:r>
      <w:r>
        <w:rPr>
          <w:lang w:val="en-US"/>
        </w:rPr>
        <w:t xml:space="preserve"> </w:t>
      </w:r>
      <w:r w:rsidRPr="00BB5337">
        <w:rPr>
          <w:lang w:val="en-US"/>
        </w:rPr>
        <w:t>V</w:t>
      </w:r>
      <w:r>
        <w:rPr>
          <w:lang w:val="en-US"/>
        </w:rPr>
        <w:t>.</w:t>
      </w:r>
      <w:r w:rsidRPr="00BB5337">
        <w:rPr>
          <w:lang w:val="en-US"/>
        </w:rPr>
        <w:t>A</w:t>
      </w:r>
      <w:r>
        <w:rPr>
          <w:lang w:val="en-US"/>
        </w:rPr>
        <w:t xml:space="preserve">.  </w:t>
      </w:r>
      <w:r w:rsidRPr="00BB5337">
        <w:rPr>
          <w:lang w:val="en-US"/>
        </w:rPr>
        <w:t>Ligands of the AMPA-subtype glutamate receptors: mechanisms of action and novel chemotypes</w:t>
      </w:r>
      <w:r>
        <w:rPr>
          <w:lang w:val="en-US"/>
        </w:rPr>
        <w:t xml:space="preserve">. // </w:t>
      </w:r>
      <w:r w:rsidRPr="00873F25">
        <w:rPr>
          <w:i/>
          <w:iCs/>
          <w:lang w:val="en-US"/>
        </w:rPr>
        <w:t>Biomed Khim.</w:t>
      </w:r>
      <w:r>
        <w:rPr>
          <w:lang w:val="en-US"/>
        </w:rPr>
        <w:t xml:space="preserve"> </w:t>
      </w:r>
      <w:r w:rsidRPr="00BB5337">
        <w:rPr>
          <w:lang w:val="en-US"/>
        </w:rPr>
        <w:t>2021</w:t>
      </w:r>
      <w:r>
        <w:rPr>
          <w:lang w:val="en-US"/>
        </w:rPr>
        <w:t xml:space="preserve">. Vol. </w:t>
      </w:r>
      <w:r w:rsidRPr="00BB5337">
        <w:rPr>
          <w:lang w:val="en-US"/>
        </w:rPr>
        <w:t>67</w:t>
      </w:r>
      <w:r w:rsidR="00873F25">
        <w:rPr>
          <w:lang w:val="en-US"/>
        </w:rPr>
        <w:t>.</w:t>
      </w:r>
      <w:r>
        <w:rPr>
          <w:lang w:val="en-US"/>
        </w:rPr>
        <w:t xml:space="preserve"> P. </w:t>
      </w:r>
      <w:r w:rsidRPr="00BB5337">
        <w:rPr>
          <w:lang w:val="en-US"/>
        </w:rPr>
        <w:t>187-200</w:t>
      </w:r>
      <w:r w:rsidR="00873F25">
        <w:rPr>
          <w:lang w:val="en-US"/>
        </w:rPr>
        <w:t>.</w:t>
      </w:r>
    </w:p>
    <w:p w14:paraId="42AF1E89" w14:textId="0733BBB3" w:rsidR="00FA2D91" w:rsidRPr="006841BD" w:rsidRDefault="00873F25" w:rsidP="008129B9">
      <w:pPr>
        <w:numPr>
          <w:ilvl w:val="0"/>
          <w:numId w:val="1"/>
        </w:numPr>
        <w:spacing w:after="0" w:line="240" w:lineRule="auto"/>
        <w:ind w:left="397" w:right="0" w:hanging="397"/>
        <w:rPr>
          <w:lang w:val="en-US"/>
        </w:rPr>
      </w:pPr>
      <w:r w:rsidRPr="00E47CD0">
        <w:rPr>
          <w:lang w:val="en-US"/>
        </w:rPr>
        <w:t>Lavrov M.I., Veremeeva P.N., Golubeva E</w:t>
      </w:r>
      <w:r>
        <w:rPr>
          <w:lang w:val="en-US"/>
        </w:rPr>
        <w:t>.</w:t>
      </w:r>
      <w:r w:rsidRPr="00E47CD0">
        <w:rPr>
          <w:lang w:val="en-US"/>
        </w:rPr>
        <w:t>A., Radchenko E</w:t>
      </w:r>
      <w:r>
        <w:rPr>
          <w:lang w:val="en-US"/>
        </w:rPr>
        <w:t>.</w:t>
      </w:r>
      <w:r w:rsidRPr="00E47CD0">
        <w:rPr>
          <w:lang w:val="en-US"/>
        </w:rPr>
        <w:t>V., Zamoyski V</w:t>
      </w:r>
      <w:r>
        <w:rPr>
          <w:lang w:val="en-US"/>
        </w:rPr>
        <w:t>.</w:t>
      </w:r>
      <w:r w:rsidRPr="00E47CD0">
        <w:rPr>
          <w:lang w:val="en-US"/>
        </w:rPr>
        <w:t>L., Grigoriev V</w:t>
      </w:r>
      <w:r>
        <w:rPr>
          <w:lang w:val="en-US"/>
        </w:rPr>
        <w:t>.</w:t>
      </w:r>
      <w:r w:rsidRPr="00E47CD0">
        <w:rPr>
          <w:lang w:val="en-US"/>
        </w:rPr>
        <w:t>V., Palyulin V</w:t>
      </w:r>
      <w:r>
        <w:rPr>
          <w:lang w:val="en-US"/>
        </w:rPr>
        <w:t>.</w:t>
      </w:r>
      <w:r w:rsidRPr="00E47CD0">
        <w:rPr>
          <w:lang w:val="en-US"/>
        </w:rPr>
        <w:t>A</w:t>
      </w:r>
      <w:r>
        <w:rPr>
          <w:lang w:val="en-US"/>
        </w:rPr>
        <w:t>.</w:t>
      </w:r>
      <w:r w:rsidRPr="00E47CD0">
        <w:rPr>
          <w:lang w:val="en-US"/>
        </w:rPr>
        <w:t xml:space="preserve"> </w:t>
      </w:r>
      <w:r w:rsidR="00E47CD0" w:rsidRPr="00E47CD0">
        <w:rPr>
          <w:lang w:val="en-US"/>
        </w:rPr>
        <w:t>Positive and negative AMPA receptor modulators based on tricyclic bispidine derivative: minor structural change inverts the type of activity</w:t>
      </w:r>
      <w:r>
        <w:rPr>
          <w:lang w:val="en-US"/>
        </w:rPr>
        <w:t>.</w:t>
      </w:r>
      <w:r w:rsidR="00E47CD0" w:rsidRPr="00E47CD0">
        <w:rPr>
          <w:lang w:val="en-US"/>
        </w:rPr>
        <w:t xml:space="preserve"> </w:t>
      </w:r>
      <w:r>
        <w:rPr>
          <w:lang w:val="en-US"/>
        </w:rPr>
        <w:t xml:space="preserve">// </w:t>
      </w:r>
      <w:r w:rsidR="00E47CD0" w:rsidRPr="00873F25">
        <w:rPr>
          <w:i/>
          <w:iCs/>
          <w:lang w:val="en-US"/>
        </w:rPr>
        <w:t>Mendeleev Commun</w:t>
      </w:r>
      <w:r w:rsidRPr="00873F25">
        <w:rPr>
          <w:i/>
          <w:iCs/>
          <w:lang w:val="en-US"/>
        </w:rPr>
        <w:t>.</w:t>
      </w:r>
      <w:r w:rsidR="00E47CD0" w:rsidRPr="00873F25">
        <w:rPr>
          <w:i/>
          <w:iCs/>
          <w:lang w:val="en-US"/>
        </w:rPr>
        <w:t xml:space="preserve"> </w:t>
      </w:r>
      <w:r w:rsidRPr="00873F25">
        <w:rPr>
          <w:i/>
          <w:iCs/>
          <w:lang w:val="en-US"/>
        </w:rPr>
        <w:t>2022</w:t>
      </w:r>
      <w:r>
        <w:rPr>
          <w:lang w:val="en-US"/>
        </w:rPr>
        <w:t>. Vol</w:t>
      </w:r>
      <w:r w:rsidR="00E47CD0" w:rsidRPr="00E47CD0">
        <w:rPr>
          <w:lang w:val="en-US"/>
        </w:rPr>
        <w:t>. 32</w:t>
      </w:r>
      <w:r w:rsidR="00EE11D2">
        <w:rPr>
          <w:lang w:val="en-US"/>
        </w:rPr>
        <w:t>.</w:t>
      </w:r>
      <w:r w:rsidR="00E47CD0" w:rsidRPr="00E47CD0">
        <w:rPr>
          <w:lang w:val="en-US"/>
        </w:rPr>
        <w:t xml:space="preserve"> </w:t>
      </w:r>
      <w:r>
        <w:rPr>
          <w:lang w:val="en-US"/>
        </w:rPr>
        <w:t>P</w:t>
      </w:r>
      <w:r w:rsidR="00E47CD0" w:rsidRPr="00E47CD0">
        <w:rPr>
          <w:lang w:val="en-US"/>
        </w:rPr>
        <w:t>. 360-363.</w:t>
      </w:r>
      <w:bookmarkEnd w:id="3"/>
    </w:p>
    <w:sectPr w:rsidR="00FA2D91" w:rsidRPr="006841BD" w:rsidSect="0038170C">
      <w:pgSz w:w="11904" w:h="16838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55E47"/>
    <w:multiLevelType w:val="hybridMultilevel"/>
    <w:tmpl w:val="27540624"/>
    <w:lvl w:ilvl="0" w:tplc="F002383C">
      <w:start w:val="1"/>
      <w:numFmt w:val="decimal"/>
      <w:lvlText w:val="%1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62F0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0C33A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30D174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6BF5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125620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EDB7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04FAC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828EA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681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56"/>
    <w:rsid w:val="00090D9A"/>
    <w:rsid w:val="000B3B56"/>
    <w:rsid w:val="00102B1A"/>
    <w:rsid w:val="001E267E"/>
    <w:rsid w:val="00271620"/>
    <w:rsid w:val="002816E3"/>
    <w:rsid w:val="00290E62"/>
    <w:rsid w:val="00317556"/>
    <w:rsid w:val="0038170C"/>
    <w:rsid w:val="003C2E33"/>
    <w:rsid w:val="00432CF2"/>
    <w:rsid w:val="004948DA"/>
    <w:rsid w:val="004C1C44"/>
    <w:rsid w:val="00514B79"/>
    <w:rsid w:val="00515DC2"/>
    <w:rsid w:val="005371C5"/>
    <w:rsid w:val="005A7FB1"/>
    <w:rsid w:val="005E75FB"/>
    <w:rsid w:val="006800D4"/>
    <w:rsid w:val="006841BD"/>
    <w:rsid w:val="006D1C58"/>
    <w:rsid w:val="00754FFE"/>
    <w:rsid w:val="0078090D"/>
    <w:rsid w:val="007A0E0B"/>
    <w:rsid w:val="007F4D82"/>
    <w:rsid w:val="008129B9"/>
    <w:rsid w:val="00873F25"/>
    <w:rsid w:val="008A4D32"/>
    <w:rsid w:val="00914169"/>
    <w:rsid w:val="00AD7612"/>
    <w:rsid w:val="00B16CFE"/>
    <w:rsid w:val="00BB5337"/>
    <w:rsid w:val="00BD3ED0"/>
    <w:rsid w:val="00C30F60"/>
    <w:rsid w:val="00C44619"/>
    <w:rsid w:val="00C94806"/>
    <w:rsid w:val="00D032A7"/>
    <w:rsid w:val="00D4203C"/>
    <w:rsid w:val="00D82EAB"/>
    <w:rsid w:val="00E47CD0"/>
    <w:rsid w:val="00E77031"/>
    <w:rsid w:val="00EA456A"/>
    <w:rsid w:val="00EE11D2"/>
    <w:rsid w:val="00F8497A"/>
    <w:rsid w:val="00F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0BF3"/>
  <w15:chartTrackingRefBased/>
  <w15:docId w15:val="{219F9783-FA5F-4E10-873D-335DE3BC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556"/>
    <w:pPr>
      <w:spacing w:after="4" w:line="287" w:lineRule="auto"/>
      <w:ind w:left="371" w:right="4" w:hanging="371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7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5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5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5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5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5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5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556"/>
    <w:pPr>
      <w:numPr>
        <w:ilvl w:val="1"/>
      </w:numPr>
      <w:ind w:left="371" w:hanging="37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5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5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5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5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5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4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4619"/>
    <w:rPr>
      <w:color w:val="605E5C"/>
      <w:shd w:val="clear" w:color="auto" w:fill="E1DFDD"/>
    </w:rPr>
  </w:style>
  <w:style w:type="paragraph" w:styleId="ae">
    <w:name w:val="caption"/>
    <w:basedOn w:val="a"/>
    <w:next w:val="a"/>
    <w:uiPriority w:val="35"/>
    <w:unhideWhenUsed/>
    <w:qFormat/>
    <w:rsid w:val="00E47CD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6</cp:revision>
  <dcterms:created xsi:type="dcterms:W3CDTF">2024-02-29T17:42:00Z</dcterms:created>
  <dcterms:modified xsi:type="dcterms:W3CDTF">2024-02-29T18:01:00Z</dcterms:modified>
</cp:coreProperties>
</file>