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4EBDB" w14:textId="5A334B58" w:rsidR="00D5671E" w:rsidRDefault="00D5671E" w:rsidP="000A1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 производных 2-(</w:t>
      </w:r>
      <w:proofErr w:type="spellStart"/>
      <w:r>
        <w:rPr>
          <w:b/>
          <w:color w:val="000000"/>
        </w:rPr>
        <w:t>метоксиметил</w:t>
      </w:r>
      <w:proofErr w:type="spellEnd"/>
      <w:r>
        <w:rPr>
          <w:b/>
          <w:color w:val="000000"/>
        </w:rPr>
        <w:t>)-2,3-дигидробензофурана методом тройного метиленового переноса к салициловым альдегидам</w:t>
      </w:r>
    </w:p>
    <w:p w14:paraId="7CDE43A2" w14:textId="186A72E5" w:rsidR="00D5671E" w:rsidRDefault="00D5671E" w:rsidP="000A153B">
      <w:pPr>
        <w:jc w:val="center"/>
        <w:rPr>
          <w:b/>
          <w:i/>
          <w:color w:val="000000"/>
        </w:rPr>
      </w:pPr>
      <w:r w:rsidRPr="00D5671E">
        <w:rPr>
          <w:b/>
          <w:i/>
          <w:color w:val="000000"/>
        </w:rPr>
        <w:t>Филиппова А.В.</w:t>
      </w:r>
      <w:r w:rsidRPr="00D5671E">
        <w:rPr>
          <w:b/>
          <w:i/>
          <w:color w:val="000000"/>
          <w:vertAlign w:val="superscript"/>
        </w:rPr>
        <w:t>1</w:t>
      </w:r>
      <w:r w:rsidRPr="00D5671E">
        <w:rPr>
          <w:b/>
          <w:i/>
          <w:color w:val="000000"/>
        </w:rPr>
        <w:t>, Шорохов В.В.</w:t>
      </w:r>
      <w:r w:rsidRPr="00D5671E">
        <w:rPr>
          <w:b/>
          <w:i/>
          <w:color w:val="000000"/>
          <w:vertAlign w:val="superscript"/>
        </w:rPr>
        <w:t>1</w:t>
      </w:r>
      <w:r w:rsidRPr="00D5671E">
        <w:rPr>
          <w:b/>
          <w:i/>
          <w:color w:val="000000"/>
        </w:rPr>
        <w:t>, Андреев И.А.</w:t>
      </w:r>
      <w:r w:rsidRPr="00D5671E">
        <w:rPr>
          <w:b/>
          <w:i/>
          <w:color w:val="000000"/>
          <w:vertAlign w:val="superscript"/>
        </w:rPr>
        <w:t>2</w:t>
      </w:r>
      <w:r w:rsidRPr="00D5671E">
        <w:rPr>
          <w:b/>
          <w:i/>
          <w:color w:val="000000"/>
        </w:rPr>
        <w:t xml:space="preserve">, </w:t>
      </w:r>
      <w:proofErr w:type="spellStart"/>
      <w:r w:rsidRPr="00D5671E">
        <w:rPr>
          <w:b/>
          <w:i/>
          <w:color w:val="000000"/>
        </w:rPr>
        <w:t>Ратманова</w:t>
      </w:r>
      <w:proofErr w:type="spellEnd"/>
      <w:r w:rsidRPr="00D5671E">
        <w:rPr>
          <w:b/>
          <w:i/>
          <w:color w:val="000000"/>
        </w:rPr>
        <w:t xml:space="preserve"> Н.К.</w:t>
      </w:r>
      <w:r w:rsidRPr="00D5671E">
        <w:rPr>
          <w:b/>
          <w:i/>
          <w:color w:val="000000"/>
          <w:vertAlign w:val="superscript"/>
        </w:rPr>
        <w:t>2</w:t>
      </w:r>
      <w:r w:rsidRPr="00D5671E">
        <w:rPr>
          <w:b/>
          <w:i/>
          <w:color w:val="000000"/>
        </w:rPr>
        <w:t>, Трушков И.В.</w:t>
      </w:r>
      <w:r w:rsidRPr="00D5671E">
        <w:rPr>
          <w:b/>
          <w:i/>
          <w:color w:val="000000"/>
          <w:vertAlign w:val="superscript"/>
        </w:rPr>
        <w:t>2</w:t>
      </w:r>
      <w:r w:rsidRPr="00D5671E">
        <w:rPr>
          <w:b/>
          <w:i/>
          <w:color w:val="000000"/>
        </w:rPr>
        <w:t>, Иванова О.А.</w:t>
      </w:r>
      <w:r w:rsidRPr="00D5671E">
        <w:rPr>
          <w:b/>
          <w:i/>
          <w:color w:val="000000"/>
          <w:vertAlign w:val="superscript"/>
        </w:rPr>
        <w:t>1</w:t>
      </w:r>
    </w:p>
    <w:p w14:paraId="00000003" w14:textId="7765C6EC" w:rsidR="00130241" w:rsidRDefault="00D5671E" w:rsidP="000A1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2654B233" w:rsidR="00130241" w:rsidRPr="00921D45" w:rsidRDefault="00EB1F49" w:rsidP="000A1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D5671E">
        <w:rPr>
          <w:i/>
          <w:color w:val="000000"/>
        </w:rPr>
        <w:t>Ломоносова,</w:t>
      </w:r>
    </w:p>
    <w:p w14:paraId="00000005" w14:textId="1A249D70" w:rsidR="00130241" w:rsidRDefault="00391C38" w:rsidP="000A1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5D774D97" w:rsidR="00130241" w:rsidRDefault="00D5671E" w:rsidP="000A1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vertAlign w:val="superscript"/>
        </w:rPr>
        <w:t>2</w:t>
      </w:r>
      <w:r>
        <w:rPr>
          <w:i/>
          <w:iCs/>
        </w:rPr>
        <w:t>Институт органической химии имени Н.Д. Зелинского РАН, Москва, Россия</w:t>
      </w:r>
    </w:p>
    <w:p w14:paraId="68555CE6" w14:textId="53B86516" w:rsidR="009F3380" w:rsidRPr="00D5671E" w:rsidRDefault="00EB1F49" w:rsidP="000A1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5671E">
        <w:rPr>
          <w:i/>
          <w:color w:val="000000"/>
          <w:lang w:val="en-US"/>
        </w:rPr>
        <w:t>E</w:t>
      </w:r>
      <w:r w:rsidR="003B76D6" w:rsidRPr="00D5671E">
        <w:rPr>
          <w:i/>
          <w:color w:val="000000"/>
        </w:rPr>
        <w:t>-</w:t>
      </w:r>
      <w:r w:rsidR="00D5671E" w:rsidRPr="00D5671E">
        <w:rPr>
          <w:i/>
          <w:color w:val="000000"/>
          <w:lang w:val="en-US"/>
        </w:rPr>
        <w:t>mail</w:t>
      </w:r>
      <w:r w:rsidR="00D5671E" w:rsidRPr="00D5671E">
        <w:rPr>
          <w:i/>
          <w:color w:val="000000"/>
        </w:rPr>
        <w:t xml:space="preserve">: </w:t>
      </w:r>
      <w:hyperlink r:id="rId8" w:history="1">
        <w:r w:rsidR="00D5671E" w:rsidRPr="00A512C7">
          <w:rPr>
            <w:rStyle w:val="a9"/>
            <w:i/>
            <w:lang w:val="en-US"/>
          </w:rPr>
          <w:t>nastyafy</w:t>
        </w:r>
        <w:r w:rsidR="00D5671E" w:rsidRPr="00A512C7">
          <w:rPr>
            <w:rStyle w:val="a9"/>
            <w:i/>
          </w:rPr>
          <w:t>1001@</w:t>
        </w:r>
        <w:r w:rsidR="00D5671E" w:rsidRPr="00A512C7">
          <w:rPr>
            <w:rStyle w:val="a9"/>
            <w:i/>
            <w:lang w:val="en-US"/>
          </w:rPr>
          <w:t>gmail</w:t>
        </w:r>
        <w:r w:rsidR="00D5671E" w:rsidRPr="00A512C7">
          <w:rPr>
            <w:rStyle w:val="a9"/>
            <w:i/>
          </w:rPr>
          <w:t>.</w:t>
        </w:r>
        <w:r w:rsidR="00D5671E" w:rsidRPr="00A512C7">
          <w:rPr>
            <w:rStyle w:val="a9"/>
            <w:i/>
            <w:lang w:val="en-US"/>
          </w:rPr>
          <w:t>com</w:t>
        </w:r>
      </w:hyperlink>
    </w:p>
    <w:p w14:paraId="1AE2DE75" w14:textId="77777777" w:rsidR="00D5671E" w:rsidRDefault="00D5671E" w:rsidP="000A1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2,3-Дигидробензофурановый скелет является важным структурным мотивом множества биологически активных соединений, в том числе некоторых сертифицированных лекарственных препаратов</w:t>
      </w:r>
      <w:r w:rsidRPr="00D5671E">
        <w:rPr>
          <w:color w:val="000000"/>
        </w:rPr>
        <w:t> </w:t>
      </w:r>
      <w:r>
        <w:rPr>
          <w:color w:val="000000"/>
        </w:rPr>
        <w:t>[1]. В частности, производные 2-(</w:t>
      </w:r>
      <w:proofErr w:type="spellStart"/>
      <w:r>
        <w:rPr>
          <w:color w:val="000000"/>
        </w:rPr>
        <w:t>метоксиметил</w:t>
      </w:r>
      <w:proofErr w:type="spellEnd"/>
      <w:r>
        <w:rPr>
          <w:color w:val="000000"/>
        </w:rPr>
        <w:t>)-2,3-дигидробензофурана нашли применение как инсектициды и акарициды [2].</w:t>
      </w:r>
    </w:p>
    <w:p w14:paraId="0C7CF5C4" w14:textId="02957FB3" w:rsidR="00D5671E" w:rsidRPr="00592EA3" w:rsidRDefault="00D5671E" w:rsidP="000A153B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Ранее П.А. </w:t>
      </w:r>
      <w:proofErr w:type="spellStart"/>
      <w:r>
        <w:rPr>
          <w:color w:val="000000"/>
        </w:rPr>
        <w:t>Лоу</w:t>
      </w:r>
      <w:proofErr w:type="spellEnd"/>
      <w:r>
        <w:rPr>
          <w:color w:val="000000"/>
        </w:rPr>
        <w:t xml:space="preserve"> и Б. </w:t>
      </w:r>
      <w:proofErr w:type="spellStart"/>
      <w:r>
        <w:rPr>
          <w:color w:val="000000"/>
        </w:rPr>
        <w:t>Холт</w:t>
      </w:r>
      <w:proofErr w:type="spellEnd"/>
      <w:r>
        <w:rPr>
          <w:color w:val="000000"/>
        </w:rPr>
        <w:t xml:space="preserve"> показали [3], что салициловые альдегиды и их </w:t>
      </w:r>
      <w:proofErr w:type="spellStart"/>
      <w:r>
        <w:rPr>
          <w:color w:val="000000"/>
        </w:rPr>
        <w:t>имины</w:t>
      </w:r>
      <w:proofErr w:type="spellEnd"/>
      <w:r>
        <w:rPr>
          <w:color w:val="000000"/>
        </w:rPr>
        <w:t xml:space="preserve"> при взаимодействии с </w:t>
      </w:r>
      <w:proofErr w:type="spellStart"/>
      <w:r>
        <w:rPr>
          <w:color w:val="000000"/>
        </w:rPr>
        <w:t>метилидом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диметилсульфоксония</w:t>
      </w:r>
      <w:proofErr w:type="spellEnd"/>
      <w:r>
        <w:rPr>
          <w:color w:val="000000"/>
        </w:rPr>
        <w:t xml:space="preserve"> дают производные </w:t>
      </w:r>
      <w:proofErr w:type="spellStart"/>
      <w:r>
        <w:rPr>
          <w:color w:val="000000"/>
        </w:rPr>
        <w:t>бензофуранов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дигидробензофуранов</w:t>
      </w:r>
      <w:proofErr w:type="spellEnd"/>
      <w:r>
        <w:rPr>
          <w:color w:val="000000"/>
        </w:rPr>
        <w:t>. Также при введении салицилового альдегида </w:t>
      </w:r>
      <w:r>
        <w:rPr>
          <w:b/>
          <w:color w:val="000000"/>
          <w:lang w:val="en-US"/>
        </w:rPr>
        <w:t>I</w:t>
      </w:r>
      <w:r w:rsidRPr="00D5671E">
        <w:rPr>
          <w:color w:val="000000"/>
        </w:rPr>
        <w:t xml:space="preserve"> </w:t>
      </w:r>
      <w:r>
        <w:rPr>
          <w:color w:val="000000"/>
        </w:rPr>
        <w:t xml:space="preserve">в реакцию с </w:t>
      </w:r>
      <w:proofErr w:type="spellStart"/>
      <w:r>
        <w:rPr>
          <w:color w:val="000000"/>
        </w:rPr>
        <w:t>метилидом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сульфония</w:t>
      </w:r>
      <w:proofErr w:type="spellEnd"/>
      <w:r>
        <w:rPr>
          <w:color w:val="000000"/>
        </w:rPr>
        <w:t xml:space="preserve"> наблюдали образование </w:t>
      </w:r>
      <w:proofErr w:type="spellStart"/>
      <w:r>
        <w:rPr>
          <w:color w:val="000000"/>
        </w:rPr>
        <w:t>метилированного</w:t>
      </w:r>
      <w:proofErr w:type="spellEnd"/>
      <w:r>
        <w:rPr>
          <w:color w:val="000000"/>
        </w:rPr>
        <w:t xml:space="preserve"> продукта </w:t>
      </w:r>
      <w:r>
        <w:rPr>
          <w:b/>
          <w:color w:val="000000"/>
          <w:lang w:val="en-US"/>
        </w:rPr>
        <w:t>II</w:t>
      </w:r>
      <w:r>
        <w:rPr>
          <w:color w:val="000000"/>
        </w:rPr>
        <w:t xml:space="preserve"> с выходом около 5</w:t>
      </w:r>
      <w:r>
        <w:rPr>
          <w:color w:val="000000"/>
          <w:lang w:val="en-US"/>
        </w:rPr>
        <w:t> </w:t>
      </w:r>
      <w:r>
        <w:rPr>
          <w:color w:val="000000"/>
        </w:rPr>
        <w:t>%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[3]. Однако в рамках данного исследования нами было установлено, что может быть реализовано альтернативное направление процесса в условиях четырехкратного избытка </w:t>
      </w:r>
      <w:proofErr w:type="spellStart"/>
      <w:r>
        <w:rPr>
          <w:color w:val="000000"/>
        </w:rPr>
        <w:t>метилида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сульфония</w:t>
      </w:r>
      <w:proofErr w:type="spellEnd"/>
      <w:r>
        <w:rPr>
          <w:color w:val="000000"/>
        </w:rPr>
        <w:t>. Нами была разработана оригинальная домино-реакция с участием коммерчески доступных салициловых альдегидов </w:t>
      </w:r>
      <w:r>
        <w:rPr>
          <w:b/>
          <w:color w:val="000000"/>
        </w:rPr>
        <w:t>1</w:t>
      </w:r>
      <w:r>
        <w:rPr>
          <w:color w:val="000000"/>
        </w:rPr>
        <w:t xml:space="preserve"> и генерируемого </w:t>
      </w:r>
      <w:r>
        <w:rPr>
          <w:i/>
          <w:color w:val="000000"/>
          <w:lang w:val="en-US"/>
        </w:rPr>
        <w:t>in</w:t>
      </w:r>
      <w:r>
        <w:rPr>
          <w:i/>
          <w:color w:val="000000"/>
        </w:rPr>
        <w:t> </w:t>
      </w:r>
      <w:r>
        <w:rPr>
          <w:i/>
          <w:color w:val="000000"/>
          <w:lang w:val="en-US"/>
        </w:rPr>
        <w:t>situ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метилида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диметилсульфония</w:t>
      </w:r>
      <w:proofErr w:type="spellEnd"/>
      <w:r>
        <w:rPr>
          <w:color w:val="000000"/>
        </w:rPr>
        <w:t>, открывающая короткий путь к получению производных 2-(</w:t>
      </w:r>
      <w:proofErr w:type="spellStart"/>
      <w:r>
        <w:rPr>
          <w:color w:val="000000"/>
        </w:rPr>
        <w:t>метоксиметил</w:t>
      </w:r>
      <w:proofErr w:type="spellEnd"/>
      <w:r>
        <w:rPr>
          <w:color w:val="000000"/>
        </w:rPr>
        <w:t>)-2,3-дигидробензофуранов </w:t>
      </w:r>
      <w:r>
        <w:rPr>
          <w:b/>
          <w:color w:val="000000"/>
        </w:rPr>
        <w:t>3</w:t>
      </w:r>
      <w:r>
        <w:rPr>
          <w:color w:val="000000"/>
        </w:rPr>
        <w:t>. В результате в молекулу альдегида «встраиваются» три метиленовых группы, при этом образование продуктов </w:t>
      </w:r>
      <w:r>
        <w:rPr>
          <w:b/>
          <w:color w:val="000000"/>
        </w:rPr>
        <w:t xml:space="preserve">3 </w:t>
      </w:r>
      <w:r>
        <w:rPr>
          <w:color w:val="000000"/>
        </w:rPr>
        <w:t xml:space="preserve">протекает с исключительной </w:t>
      </w:r>
      <w:proofErr w:type="spellStart"/>
      <w:r>
        <w:rPr>
          <w:color w:val="000000"/>
        </w:rPr>
        <w:t>хемоселективностью</w:t>
      </w:r>
      <w:proofErr w:type="spellEnd"/>
      <w:r>
        <w:rPr>
          <w:color w:val="000000"/>
        </w:rPr>
        <w:t>.</w:t>
      </w:r>
    </w:p>
    <w:p w14:paraId="30ED09B7" w14:textId="0E9495C5" w:rsidR="00D5671E" w:rsidRDefault="00D5671E" w:rsidP="000A153B">
      <w:pPr>
        <w:ind w:firstLine="397"/>
        <w:jc w:val="both"/>
      </w:pPr>
      <w:r>
        <w:rPr>
          <w:color w:val="000000"/>
        </w:rPr>
        <w:t xml:space="preserve">Общий характер исследуемой реакции был показан на серии салициловых альдегидов, обладающих различными заместителями (галоген, алкил, </w:t>
      </w:r>
      <w:proofErr w:type="spellStart"/>
      <w:r>
        <w:rPr>
          <w:color w:val="000000"/>
        </w:rPr>
        <w:t>алкокси</w:t>
      </w:r>
      <w:proofErr w:type="spellEnd"/>
      <w:r>
        <w:rPr>
          <w:color w:val="000000"/>
        </w:rPr>
        <w:t xml:space="preserve">-группы) в положениях 3 и 5. В результате </w:t>
      </w:r>
      <w:proofErr w:type="spellStart"/>
      <w:r>
        <w:rPr>
          <w:color w:val="000000"/>
        </w:rPr>
        <w:t>дигидробензофураны</w:t>
      </w:r>
      <w:proofErr w:type="spellEnd"/>
      <w:r>
        <w:rPr>
          <w:color w:val="000000"/>
          <w:lang w:val="en-US"/>
        </w:rPr>
        <w:t> </w:t>
      </w:r>
      <w:r w:rsidR="0083336B">
        <w:rPr>
          <w:b/>
          <w:color w:val="000000"/>
        </w:rPr>
        <w:t>3a-j</w:t>
      </w:r>
      <w:r w:rsidR="00E63131">
        <w:rPr>
          <w:color w:val="000000"/>
        </w:rPr>
        <w:t xml:space="preserve"> были получены с выходами 51</w:t>
      </w:r>
      <w:r>
        <w:rPr>
          <w:color w:val="000000"/>
        </w:rPr>
        <w:t>–75</w:t>
      </w:r>
      <w:r w:rsidR="00592EA3">
        <w:rPr>
          <w:color w:val="000000"/>
          <w:lang w:val="en-US"/>
        </w:rPr>
        <w:t> </w:t>
      </w:r>
      <w:r w:rsidR="00592EA3">
        <w:rPr>
          <w:color w:val="000000"/>
        </w:rPr>
        <w:t>% (схема</w:t>
      </w:r>
      <w:r w:rsidR="00592EA3">
        <w:rPr>
          <w:color w:val="000000"/>
          <w:lang w:val="en-US"/>
        </w:rPr>
        <w:t> </w:t>
      </w:r>
      <w:r>
        <w:rPr>
          <w:color w:val="000000"/>
        </w:rPr>
        <w:t xml:space="preserve">1). </w:t>
      </w:r>
      <w:r>
        <w:t xml:space="preserve">Мы предполагаем, что ключевой стадией этого </w:t>
      </w:r>
      <w:r>
        <w:rPr>
          <w:color w:val="000000"/>
        </w:rPr>
        <w:t>сложного домино-процесса является</w:t>
      </w:r>
      <w:r>
        <w:t xml:space="preserve"> генерация</w:t>
      </w:r>
      <w:r>
        <w:rPr>
          <w:b/>
        </w:rPr>
        <w:t xml:space="preserve"> </w:t>
      </w:r>
      <w:proofErr w:type="spellStart"/>
      <w:r>
        <w:t>бензилоксирана</w:t>
      </w:r>
      <w:proofErr w:type="spellEnd"/>
      <w:r>
        <w:t> </w:t>
      </w:r>
      <w:r>
        <w:rPr>
          <w:b/>
        </w:rPr>
        <w:t>2</w:t>
      </w:r>
      <w:r>
        <w:t xml:space="preserve"> с последующим внутримолекулярным раскрытием эпоксидного цикла фенолят-анионом. Реакция завершается </w:t>
      </w:r>
      <w:proofErr w:type="spellStart"/>
      <w:r>
        <w:t>метилированием</w:t>
      </w:r>
      <w:proofErr w:type="spellEnd"/>
      <w:r>
        <w:t xml:space="preserve"> образовавшегос</w:t>
      </w:r>
      <w:r w:rsidR="00592EA3">
        <w:t xml:space="preserve">я алкоголят-аниона </w:t>
      </w:r>
      <w:proofErr w:type="spellStart"/>
      <w:r w:rsidR="00592EA3">
        <w:t>илидом</w:t>
      </w:r>
      <w:proofErr w:type="spellEnd"/>
      <w:r w:rsidR="00592EA3">
        <w:t xml:space="preserve"> серы.</w:t>
      </w:r>
    </w:p>
    <w:p w14:paraId="415E0DDE" w14:textId="47AED4A0" w:rsidR="000A153B" w:rsidRDefault="000A153B" w:rsidP="00302288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91FE7A0" wp14:editId="23328C25">
            <wp:extent cx="5831840" cy="18649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048" cy="186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AE7FD" w14:textId="00849B17" w:rsidR="00D5671E" w:rsidRDefault="00592EA3" w:rsidP="000A153B">
      <w:pPr>
        <w:jc w:val="center"/>
        <w:rPr>
          <w:bCs/>
          <w:color w:val="000000"/>
        </w:rPr>
      </w:pPr>
      <w:r>
        <w:rPr>
          <w:b/>
          <w:color w:val="000000"/>
        </w:rPr>
        <w:t>Схема 1.</w:t>
      </w:r>
      <w:r>
        <w:rPr>
          <w:bCs/>
          <w:color w:val="000000"/>
        </w:rPr>
        <w:t xml:space="preserve"> Реакции замещенных салициловых альдегидов с </w:t>
      </w:r>
      <w:proofErr w:type="spellStart"/>
      <w:r>
        <w:rPr>
          <w:bCs/>
          <w:color w:val="000000"/>
        </w:rPr>
        <w:t>илидами</w:t>
      </w:r>
      <w:proofErr w:type="spellEnd"/>
      <w:r>
        <w:rPr>
          <w:bCs/>
          <w:color w:val="000000"/>
        </w:rPr>
        <w:t xml:space="preserve"> серы.</w:t>
      </w:r>
    </w:p>
    <w:p w14:paraId="226A0010" w14:textId="28F2A7B2" w:rsidR="00592EA3" w:rsidRPr="00592EA3" w:rsidRDefault="00592EA3" w:rsidP="000A153B">
      <w:pPr>
        <w:ind w:firstLine="34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РНФ (грант 21-73-20095).</w:t>
      </w:r>
    </w:p>
    <w:p w14:paraId="0BDB1A21" w14:textId="4C6A9789" w:rsidR="001B0AE8" w:rsidRPr="001B0AE8" w:rsidRDefault="00592EA3" w:rsidP="000A153B">
      <w:pPr>
        <w:jc w:val="center"/>
        <w:rPr>
          <w:b/>
          <w:bCs/>
          <w:i/>
          <w:iCs/>
          <w:lang w:val="en-US"/>
        </w:rPr>
      </w:pPr>
      <w:r>
        <w:rPr>
          <w:b/>
          <w:bCs/>
          <w:i/>
          <w:iCs/>
          <w:color w:val="000000"/>
        </w:rPr>
        <w:t>Литература</w:t>
      </w:r>
      <w:bookmarkStart w:id="0" w:name="_GoBack"/>
      <w:bookmarkEnd w:id="0"/>
    </w:p>
    <w:p w14:paraId="165DE901" w14:textId="11A448E9" w:rsidR="00592EA3" w:rsidRDefault="001B0AE8" w:rsidP="000A153B">
      <w:pPr>
        <w:pStyle w:val="a5"/>
        <w:numPr>
          <w:ilvl w:val="0"/>
          <w:numId w:val="3"/>
        </w:numPr>
        <w:ind w:left="426"/>
        <w:rPr>
          <w:lang w:val="en-US"/>
        </w:rPr>
      </w:pPr>
      <w:r w:rsidRPr="001B0AE8">
        <w:rPr>
          <w:lang w:val="en-US"/>
        </w:rPr>
        <w:t xml:space="preserve">Qin L., Vo D.-D., </w:t>
      </w:r>
      <w:proofErr w:type="spellStart"/>
      <w:r w:rsidRPr="001B0AE8">
        <w:rPr>
          <w:lang w:val="en-US"/>
        </w:rPr>
        <w:t>Nakhai</w:t>
      </w:r>
      <w:proofErr w:type="spellEnd"/>
      <w:r w:rsidRPr="001B0AE8">
        <w:rPr>
          <w:lang w:val="en-US"/>
        </w:rPr>
        <w:t xml:space="preserve"> A., </w:t>
      </w:r>
      <w:proofErr w:type="spellStart"/>
      <w:r w:rsidRPr="001B0AE8">
        <w:rPr>
          <w:lang w:val="en-US"/>
        </w:rPr>
        <w:t>Andersson</w:t>
      </w:r>
      <w:proofErr w:type="spellEnd"/>
      <w:r w:rsidRPr="001B0AE8">
        <w:rPr>
          <w:lang w:val="en-US"/>
        </w:rPr>
        <w:t xml:space="preserve"> C.D., </w:t>
      </w:r>
      <w:proofErr w:type="spellStart"/>
      <w:r w:rsidRPr="001B0AE8">
        <w:rPr>
          <w:lang w:val="en-US"/>
        </w:rPr>
        <w:t>Elofsson</w:t>
      </w:r>
      <w:proofErr w:type="spellEnd"/>
      <w:r w:rsidRPr="001B0AE8">
        <w:rPr>
          <w:lang w:val="en-US"/>
        </w:rPr>
        <w:t xml:space="preserve"> M. </w:t>
      </w:r>
      <w:r w:rsidR="00592EA3" w:rsidRPr="00592EA3">
        <w:rPr>
          <w:lang w:val="en-US"/>
        </w:rPr>
        <w:t xml:space="preserve">Diversity-oriented Synthesis of Libraries Based on </w:t>
      </w:r>
      <w:proofErr w:type="spellStart"/>
      <w:r w:rsidR="00592EA3" w:rsidRPr="00592EA3">
        <w:rPr>
          <w:lang w:val="en-US"/>
        </w:rPr>
        <w:t>Benzofuran</w:t>
      </w:r>
      <w:proofErr w:type="spellEnd"/>
      <w:r w:rsidR="00592EA3" w:rsidRPr="00592EA3">
        <w:rPr>
          <w:lang w:val="en-US"/>
        </w:rPr>
        <w:t xml:space="preserve"> and 2,3-Dihydrobenzofuran Scaffolds</w:t>
      </w:r>
      <w:r w:rsidR="00592EA3">
        <w:rPr>
          <w:lang w:val="en-US"/>
        </w:rPr>
        <w:t xml:space="preserve"> </w:t>
      </w:r>
      <w:r w:rsidR="00592EA3" w:rsidRPr="00592EA3">
        <w:rPr>
          <w:lang w:val="en-US"/>
        </w:rPr>
        <w:t xml:space="preserve">// </w:t>
      </w:r>
      <w:r>
        <w:rPr>
          <w:lang w:val="en-US"/>
        </w:rPr>
        <w:t>ACS Comb. Sci.</w:t>
      </w:r>
      <w:r>
        <w:rPr>
          <w:color w:val="000000"/>
          <w:lang w:val="en-US"/>
        </w:rPr>
        <w:t xml:space="preserve"> 2017.</w:t>
      </w:r>
      <w:r w:rsidR="00592EA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Vol. </w:t>
      </w:r>
      <w:r w:rsidR="00592EA3" w:rsidRPr="001B0AE8">
        <w:rPr>
          <w:color w:val="000000"/>
          <w:lang w:val="en-US"/>
        </w:rPr>
        <w:t>19</w:t>
      </w:r>
      <w:r>
        <w:rPr>
          <w:color w:val="000000"/>
          <w:lang w:val="en-US"/>
        </w:rPr>
        <w:t>. P.</w:t>
      </w:r>
      <w:r w:rsidR="00592EA3">
        <w:rPr>
          <w:color w:val="000000"/>
          <w:lang w:val="en-US"/>
        </w:rPr>
        <w:t xml:space="preserve"> 370</w:t>
      </w:r>
      <w:r>
        <w:rPr>
          <w:color w:val="000000"/>
          <w:lang w:val="en-US"/>
        </w:rPr>
        <w:t>–376</w:t>
      </w:r>
      <w:r w:rsidR="00592EA3">
        <w:rPr>
          <w:lang w:val="en-US"/>
        </w:rPr>
        <w:t>.</w:t>
      </w:r>
    </w:p>
    <w:p w14:paraId="2BC083A3" w14:textId="182D45B8" w:rsidR="00592EA3" w:rsidRDefault="00592EA3" w:rsidP="000A153B">
      <w:pPr>
        <w:pStyle w:val="a5"/>
        <w:numPr>
          <w:ilvl w:val="0"/>
          <w:numId w:val="3"/>
        </w:numPr>
        <w:shd w:val="clear" w:color="auto" w:fill="FFFFFF"/>
        <w:ind w:left="426"/>
        <w:rPr>
          <w:color w:val="000000"/>
          <w:lang w:val="en-US"/>
        </w:rPr>
      </w:pPr>
      <w:r>
        <w:rPr>
          <w:color w:val="000000"/>
          <w:lang w:val="en-US"/>
        </w:rPr>
        <w:t>Xu</w:t>
      </w:r>
      <w:r w:rsidR="001B0AE8">
        <w:rPr>
          <w:color w:val="000000"/>
          <w:lang w:val="en-US"/>
        </w:rPr>
        <w:t xml:space="preserve"> H., </w:t>
      </w:r>
      <w:proofErr w:type="spellStart"/>
      <w:r>
        <w:rPr>
          <w:color w:val="000000"/>
          <w:lang w:val="en-US"/>
        </w:rPr>
        <w:t>Lyu</w:t>
      </w:r>
      <w:proofErr w:type="spellEnd"/>
      <w:r w:rsidR="001B0AE8">
        <w:rPr>
          <w:color w:val="000000"/>
          <w:lang w:val="en-US"/>
        </w:rPr>
        <w:t xml:space="preserve"> M.</w:t>
      </w:r>
      <w:r>
        <w:rPr>
          <w:color w:val="000000"/>
          <w:lang w:val="en-US"/>
        </w:rPr>
        <w:t xml:space="preserve"> Ren pat. CN113912592A China 2022.</w:t>
      </w:r>
    </w:p>
    <w:p w14:paraId="3486C755" w14:textId="34546BD8" w:rsidR="00116478" w:rsidRPr="00FF4DAC" w:rsidRDefault="00592EA3" w:rsidP="000A153B">
      <w:pPr>
        <w:pStyle w:val="a5"/>
        <w:numPr>
          <w:ilvl w:val="0"/>
          <w:numId w:val="3"/>
        </w:numPr>
        <w:shd w:val="clear" w:color="auto" w:fill="FFFFFF"/>
        <w:ind w:left="426"/>
        <w:rPr>
          <w:color w:val="000000"/>
        </w:rPr>
      </w:pPr>
      <w:r>
        <w:rPr>
          <w:color w:val="000000"/>
          <w:lang w:val="en-US"/>
        </w:rPr>
        <w:t>Holt</w:t>
      </w:r>
      <w:r w:rsidR="001B0AE8" w:rsidRPr="001B0AE8">
        <w:rPr>
          <w:color w:val="000000"/>
          <w:lang w:val="en-US"/>
        </w:rPr>
        <w:t xml:space="preserve"> </w:t>
      </w:r>
      <w:r w:rsidR="001B0AE8">
        <w:rPr>
          <w:color w:val="000000"/>
          <w:lang w:val="en-US"/>
        </w:rPr>
        <w:t>B.</w:t>
      </w:r>
      <w:r w:rsidRPr="001B0AE8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Lowe</w:t>
      </w:r>
      <w:r w:rsidR="001B0AE8">
        <w:rPr>
          <w:color w:val="000000"/>
          <w:lang w:val="en-US"/>
        </w:rPr>
        <w:t xml:space="preserve"> P.A. Reaction of Ortho-</w:t>
      </w:r>
      <w:proofErr w:type="spellStart"/>
      <w:r w:rsidR="001B0AE8">
        <w:rPr>
          <w:color w:val="000000"/>
          <w:lang w:val="en-US"/>
        </w:rPr>
        <w:t>Hydroxyaldehyde</w:t>
      </w:r>
      <w:r w:rsidR="00FF4DAC">
        <w:rPr>
          <w:color w:val="000000"/>
          <w:lang w:val="en-US"/>
        </w:rPr>
        <w:t>s</w:t>
      </w:r>
      <w:proofErr w:type="spellEnd"/>
      <w:r w:rsidR="00FF4DAC">
        <w:rPr>
          <w:color w:val="000000"/>
          <w:lang w:val="en-US"/>
        </w:rPr>
        <w:t xml:space="preserve"> with </w:t>
      </w:r>
      <w:proofErr w:type="spellStart"/>
      <w:r w:rsidR="00FF4DAC">
        <w:rPr>
          <w:color w:val="000000"/>
          <w:lang w:val="en-US"/>
        </w:rPr>
        <w:t>Dimethylsulphoxonium</w:t>
      </w:r>
      <w:proofErr w:type="spellEnd"/>
      <w:r w:rsidR="00FF4DAC">
        <w:rPr>
          <w:color w:val="000000"/>
          <w:lang w:val="en-US"/>
        </w:rPr>
        <w:t xml:space="preserve"> </w:t>
      </w:r>
      <w:proofErr w:type="spellStart"/>
      <w:r w:rsidR="00FF4DAC">
        <w:rPr>
          <w:color w:val="000000"/>
          <w:lang w:val="en-US"/>
        </w:rPr>
        <w:t>Methylide</w:t>
      </w:r>
      <w:proofErr w:type="spellEnd"/>
      <w:r w:rsidR="00FF4DAC">
        <w:rPr>
          <w:color w:val="000000"/>
          <w:lang w:val="en-US"/>
        </w:rPr>
        <w:t xml:space="preserve"> </w:t>
      </w:r>
      <w:r w:rsidR="00FF4DAC" w:rsidRPr="00FF4DAC">
        <w:rPr>
          <w:color w:val="000000"/>
          <w:lang w:val="en-US"/>
        </w:rPr>
        <w:t>//</w:t>
      </w:r>
      <w:r w:rsidRPr="00FF4DAC">
        <w:rPr>
          <w:color w:val="000000"/>
          <w:lang w:val="en-US"/>
        </w:rPr>
        <w:t xml:space="preserve"> Tetrahedron </w:t>
      </w:r>
      <w:proofErr w:type="spellStart"/>
      <w:r w:rsidRPr="00FF4DAC">
        <w:rPr>
          <w:color w:val="000000"/>
          <w:lang w:val="en-US"/>
        </w:rPr>
        <w:t>Lett</w:t>
      </w:r>
      <w:proofErr w:type="spellEnd"/>
      <w:r w:rsidR="00FF4DAC">
        <w:rPr>
          <w:color w:val="000000"/>
          <w:lang w:val="en-US"/>
        </w:rPr>
        <w:t>.</w:t>
      </w:r>
      <w:r w:rsidR="001B0AE8">
        <w:rPr>
          <w:color w:val="000000"/>
          <w:lang w:val="en-US"/>
        </w:rPr>
        <w:t xml:space="preserve"> 1966.</w:t>
      </w:r>
      <w:r w:rsidRPr="001B0AE8">
        <w:rPr>
          <w:color w:val="000000"/>
          <w:lang w:val="en-US"/>
        </w:rPr>
        <w:t xml:space="preserve"> </w:t>
      </w:r>
      <w:r w:rsidR="001B0AE8">
        <w:rPr>
          <w:color w:val="000000"/>
          <w:lang w:val="en-US"/>
        </w:rPr>
        <w:t xml:space="preserve">Vol. </w:t>
      </w:r>
      <w:r w:rsidRPr="001B0AE8">
        <w:rPr>
          <w:b/>
          <w:color w:val="000000"/>
          <w:lang w:val="en-US"/>
        </w:rPr>
        <w:t>7</w:t>
      </w:r>
      <w:r w:rsidR="001B0AE8">
        <w:rPr>
          <w:color w:val="000000"/>
          <w:lang w:val="en-US"/>
        </w:rPr>
        <w:t>. P</w:t>
      </w:r>
      <w:r w:rsidR="001B0AE8" w:rsidRPr="001B0AE8">
        <w:rPr>
          <w:color w:val="000000"/>
        </w:rPr>
        <w:t>.</w:t>
      </w:r>
      <w:r w:rsidRPr="001B0AE8">
        <w:rPr>
          <w:color w:val="000000"/>
        </w:rPr>
        <w:t xml:space="preserve"> 683</w:t>
      </w:r>
      <w:r w:rsidR="00FF4DAC">
        <w:rPr>
          <w:color w:val="000000"/>
        </w:rPr>
        <w:t>–686</w:t>
      </w:r>
      <w:r w:rsidRPr="001B0AE8">
        <w:rPr>
          <w:color w:val="000000"/>
        </w:rPr>
        <w:t>.</w:t>
      </w:r>
    </w:p>
    <w:sectPr w:rsidR="00116478" w:rsidRPr="00FF4DAC">
      <w:footerReference w:type="default" r:id="rId10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BB0CB" w14:textId="77777777" w:rsidR="000B4310" w:rsidRDefault="000B4310" w:rsidP="000A153B">
      <w:r>
        <w:separator/>
      </w:r>
    </w:p>
  </w:endnote>
  <w:endnote w:type="continuationSeparator" w:id="0">
    <w:p w14:paraId="728682C2" w14:textId="77777777" w:rsidR="000B4310" w:rsidRDefault="000B4310" w:rsidP="000A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D4595" w14:textId="415D4222" w:rsidR="000A153B" w:rsidRDefault="000A153B" w:rsidP="000A153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09A94" w14:textId="77777777" w:rsidR="000B4310" w:rsidRDefault="000B4310" w:rsidP="000A153B">
      <w:r>
        <w:separator/>
      </w:r>
    </w:p>
  </w:footnote>
  <w:footnote w:type="continuationSeparator" w:id="0">
    <w:p w14:paraId="048FFC89" w14:textId="77777777" w:rsidR="000B4310" w:rsidRDefault="000B4310" w:rsidP="000A1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A7957"/>
    <w:multiLevelType w:val="hybridMultilevel"/>
    <w:tmpl w:val="8A86D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A153B"/>
    <w:rsid w:val="000B4310"/>
    <w:rsid w:val="00101A1C"/>
    <w:rsid w:val="00103657"/>
    <w:rsid w:val="00106375"/>
    <w:rsid w:val="00116478"/>
    <w:rsid w:val="00130241"/>
    <w:rsid w:val="001B0AE8"/>
    <w:rsid w:val="001E61C2"/>
    <w:rsid w:val="001F0493"/>
    <w:rsid w:val="002264EE"/>
    <w:rsid w:val="0023307C"/>
    <w:rsid w:val="00302288"/>
    <w:rsid w:val="0031361E"/>
    <w:rsid w:val="00391C38"/>
    <w:rsid w:val="003B76D6"/>
    <w:rsid w:val="004A26A3"/>
    <w:rsid w:val="004F0EDF"/>
    <w:rsid w:val="00522BF1"/>
    <w:rsid w:val="00590166"/>
    <w:rsid w:val="00592EA3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3336B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9093D"/>
    <w:rsid w:val="00CD00B1"/>
    <w:rsid w:val="00D22306"/>
    <w:rsid w:val="00D42542"/>
    <w:rsid w:val="00D5671E"/>
    <w:rsid w:val="00D8121C"/>
    <w:rsid w:val="00E22189"/>
    <w:rsid w:val="00E63131"/>
    <w:rsid w:val="00E74069"/>
    <w:rsid w:val="00EB1F49"/>
    <w:rsid w:val="00F865B3"/>
    <w:rsid w:val="00FB1509"/>
    <w:rsid w:val="00FF1903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0A15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153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A15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15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yafy10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4B3BC8-16E6-4A70-962A-7081F5FC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Гном</dc:creator>
  <cp:lastModifiedBy>Учетная запись Майкрософт</cp:lastModifiedBy>
  <cp:revision>2</cp:revision>
  <dcterms:created xsi:type="dcterms:W3CDTF">2024-03-12T12:57:00Z</dcterms:created>
  <dcterms:modified xsi:type="dcterms:W3CDTF">2024-03-12T12:57:00Z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