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52539" w14:textId="77777777" w:rsidR="00095864" w:rsidRPr="001228AD" w:rsidRDefault="00202379" w:rsidP="00095864">
      <w:pPr>
        <w:jc w:val="center"/>
        <w:rPr>
          <w:b/>
          <w:bCs/>
          <w:szCs w:val="32"/>
        </w:rPr>
      </w:pPr>
      <w:r w:rsidRPr="001228AD">
        <w:rPr>
          <w:b/>
          <w:bCs/>
          <w:szCs w:val="32"/>
        </w:rPr>
        <w:t xml:space="preserve">Синтез и свойства сложных бромидов в тройных системах </w:t>
      </w:r>
    </w:p>
    <w:p w14:paraId="3CBABE2D" w14:textId="26D0BE66" w:rsidR="00202379" w:rsidRPr="001228AD" w:rsidRDefault="00202379" w:rsidP="00095864">
      <w:pPr>
        <w:jc w:val="center"/>
        <w:rPr>
          <w:b/>
          <w:bCs/>
          <w:szCs w:val="32"/>
          <w:lang w:val="en-US"/>
        </w:rPr>
      </w:pPr>
      <w:proofErr w:type="spellStart"/>
      <w:r w:rsidRPr="001228AD">
        <w:rPr>
          <w:b/>
          <w:bCs/>
          <w:szCs w:val="32"/>
          <w:lang w:val="en-US"/>
        </w:rPr>
        <w:t>CsBr-MBr</w:t>
      </w:r>
      <w:proofErr w:type="spellEnd"/>
      <w:r w:rsidRPr="001228AD">
        <w:rPr>
          <w:b/>
          <w:bCs/>
          <w:szCs w:val="32"/>
          <w:lang w:val="en-US"/>
        </w:rPr>
        <w:t>- SbBr</w:t>
      </w:r>
      <w:r w:rsidRPr="001228AD">
        <w:rPr>
          <w:b/>
          <w:bCs/>
          <w:szCs w:val="32"/>
          <w:vertAlign w:val="subscript"/>
          <w:lang w:val="en-US"/>
        </w:rPr>
        <w:t>3</w:t>
      </w:r>
      <w:r w:rsidRPr="001228AD">
        <w:rPr>
          <w:b/>
          <w:bCs/>
          <w:szCs w:val="32"/>
          <w:lang w:val="en-US"/>
        </w:rPr>
        <w:t xml:space="preserve"> </w:t>
      </w:r>
      <w:r w:rsidRPr="001228AD">
        <w:rPr>
          <w:b/>
          <w:bCs/>
          <w:szCs w:val="32"/>
        </w:rPr>
        <w:t>и</w:t>
      </w:r>
      <w:r w:rsidRPr="001228AD">
        <w:rPr>
          <w:b/>
          <w:bCs/>
          <w:szCs w:val="32"/>
          <w:lang w:val="en-US"/>
        </w:rPr>
        <w:t xml:space="preserve"> CsBr-MBr-BiBr</w:t>
      </w:r>
      <w:r w:rsidRPr="001228AD">
        <w:rPr>
          <w:b/>
          <w:bCs/>
          <w:szCs w:val="32"/>
          <w:vertAlign w:val="subscript"/>
          <w:lang w:val="en-US"/>
        </w:rPr>
        <w:t>3</w:t>
      </w:r>
      <w:r w:rsidRPr="001228AD">
        <w:rPr>
          <w:b/>
          <w:bCs/>
          <w:szCs w:val="32"/>
          <w:lang w:val="en-US"/>
        </w:rPr>
        <w:t xml:space="preserve"> (M=Ag, Cu)</w:t>
      </w:r>
    </w:p>
    <w:p w14:paraId="631E9E69" w14:textId="483D7BC0" w:rsidR="00946DA5" w:rsidRPr="001228AD" w:rsidRDefault="00946DA5" w:rsidP="005B356F">
      <w:pPr>
        <w:pStyle w:val="Authors"/>
        <w:spacing w:after="0" w:line="240" w:lineRule="auto"/>
        <w:jc w:val="center"/>
        <w:rPr>
          <w:b/>
          <w:sz w:val="24"/>
          <w:szCs w:val="28"/>
          <w:lang w:val="ru-RU"/>
        </w:rPr>
      </w:pPr>
      <w:r w:rsidRPr="00F141F2">
        <w:rPr>
          <w:b/>
          <w:sz w:val="24"/>
          <w:szCs w:val="28"/>
          <w:lang w:val="ru-RU"/>
        </w:rPr>
        <w:t>Камилов Р.Х.</w:t>
      </w:r>
      <w:r w:rsidR="00F141F2" w:rsidRPr="00F141F2">
        <w:rPr>
          <w:b/>
          <w:sz w:val="24"/>
          <w:szCs w:val="28"/>
          <w:vertAlign w:val="superscript"/>
          <w:lang w:val="ru-RU"/>
        </w:rPr>
        <w:t>1</w:t>
      </w:r>
      <w:r w:rsidRPr="001228AD">
        <w:rPr>
          <w:b/>
          <w:sz w:val="24"/>
          <w:szCs w:val="28"/>
          <w:lang w:val="ru-RU"/>
        </w:rPr>
        <w:t xml:space="preserve">, </w:t>
      </w:r>
      <w:r w:rsidR="00A830BE" w:rsidRPr="001228AD">
        <w:rPr>
          <w:b/>
          <w:sz w:val="24"/>
          <w:szCs w:val="28"/>
          <w:lang w:val="ru-RU"/>
        </w:rPr>
        <w:t>Иброхимов М.М.</w:t>
      </w:r>
      <w:r w:rsidR="00F141F2" w:rsidRPr="00F141F2">
        <w:rPr>
          <w:b/>
          <w:sz w:val="24"/>
          <w:szCs w:val="28"/>
          <w:vertAlign w:val="superscript"/>
          <w:lang w:val="ru-RU"/>
        </w:rPr>
        <w:t>1</w:t>
      </w:r>
      <w:r w:rsidR="00A830BE" w:rsidRPr="001228AD">
        <w:rPr>
          <w:b/>
          <w:sz w:val="24"/>
          <w:szCs w:val="28"/>
          <w:lang w:val="ru-RU"/>
        </w:rPr>
        <w:t>,</w:t>
      </w:r>
      <w:r w:rsidRPr="001228AD">
        <w:rPr>
          <w:b/>
          <w:sz w:val="24"/>
          <w:szCs w:val="28"/>
          <w:lang w:val="ru-RU"/>
        </w:rPr>
        <w:t>Чжу Ч.</w:t>
      </w:r>
      <w:r w:rsidR="00F141F2" w:rsidRPr="00F141F2">
        <w:rPr>
          <w:b/>
          <w:sz w:val="24"/>
          <w:szCs w:val="28"/>
          <w:vertAlign w:val="superscript"/>
          <w:lang w:val="ru-RU"/>
        </w:rPr>
        <w:t>1</w:t>
      </w:r>
      <w:r w:rsidRPr="001228AD">
        <w:rPr>
          <w:b/>
          <w:sz w:val="24"/>
          <w:szCs w:val="28"/>
          <w:lang w:val="ru-RU"/>
        </w:rPr>
        <w:t xml:space="preserve">, </w:t>
      </w:r>
    </w:p>
    <w:p w14:paraId="6D9E49E4" w14:textId="39413555" w:rsidR="00095864" w:rsidRPr="001228AD" w:rsidRDefault="00F141F2" w:rsidP="000958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Стажер</w:t>
      </w:r>
    </w:p>
    <w:p w14:paraId="28B008B9" w14:textId="79C15B06" w:rsidR="00946DA5" w:rsidRPr="001228AD" w:rsidRDefault="00F141F2" w:rsidP="000958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141F2">
        <w:rPr>
          <w:i/>
          <w:color w:val="000000"/>
          <w:vertAlign w:val="superscript"/>
        </w:rPr>
        <w:t>1</w:t>
      </w:r>
      <w:r w:rsidR="00946DA5" w:rsidRPr="001228AD">
        <w:rPr>
          <w:i/>
          <w:color w:val="000000"/>
        </w:rPr>
        <w:t xml:space="preserve">Московский государственный университет имени </w:t>
      </w:r>
      <w:proofErr w:type="spellStart"/>
      <w:r w:rsidR="00946DA5" w:rsidRPr="001228AD">
        <w:rPr>
          <w:i/>
          <w:color w:val="000000"/>
        </w:rPr>
        <w:t>М.В.Ломоносова</w:t>
      </w:r>
      <w:proofErr w:type="spellEnd"/>
      <w:r w:rsidR="00946DA5" w:rsidRPr="001228AD">
        <w:rPr>
          <w:i/>
          <w:color w:val="000000"/>
        </w:rPr>
        <w:t>, </w:t>
      </w:r>
    </w:p>
    <w:p w14:paraId="044B6E3D" w14:textId="77777777" w:rsidR="00946DA5" w:rsidRPr="001228AD" w:rsidRDefault="00946DA5" w:rsidP="000958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228AD">
        <w:rPr>
          <w:i/>
          <w:color w:val="000000"/>
        </w:rPr>
        <w:t>факультет наук о материалах, Москва, Россия</w:t>
      </w:r>
    </w:p>
    <w:p w14:paraId="5CD0C325" w14:textId="77777777" w:rsidR="002E1C97" w:rsidRPr="001228AD" w:rsidRDefault="00946DA5" w:rsidP="00095864">
      <w:pPr>
        <w:pStyle w:val="Adress"/>
        <w:spacing w:before="0" w:after="120" w:line="240" w:lineRule="auto"/>
        <w:ind w:left="0" w:firstLine="0"/>
        <w:jc w:val="center"/>
        <w:rPr>
          <w:rFonts w:ascii="Times New Roman" w:hAnsi="Times New Roman"/>
          <w:i/>
          <w:iCs/>
          <w:sz w:val="24"/>
          <w:szCs w:val="24"/>
          <w:u w:val="single" w:color="000000"/>
          <w:lang w:val="ru-RU" w:eastAsia="ru-RU"/>
        </w:rPr>
      </w:pPr>
      <w:r w:rsidRPr="001228AD">
        <w:rPr>
          <w:rFonts w:ascii="Times New Roman" w:eastAsia="Times New Roman" w:hAnsi="Times New Roman"/>
          <w:i/>
          <w:sz w:val="24"/>
          <w:szCs w:val="24"/>
        </w:rPr>
        <w:t>E–mail:</w:t>
      </w:r>
      <w:r w:rsidRPr="001228A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228AD">
        <w:rPr>
          <w:rFonts w:ascii="Times New Roman" w:hAnsi="Times New Roman"/>
          <w:i/>
          <w:iCs/>
          <w:sz w:val="24"/>
          <w:szCs w:val="24"/>
          <w:u w:val="single" w:color="000000"/>
          <w:lang w:val="en-US" w:eastAsia="ru-RU"/>
        </w:rPr>
        <w:t>rustamk</w:t>
      </w:r>
      <w:r w:rsidRPr="001228AD">
        <w:rPr>
          <w:rFonts w:ascii="Times New Roman" w:hAnsi="Times New Roman"/>
          <w:i/>
          <w:iCs/>
          <w:sz w:val="24"/>
          <w:szCs w:val="24"/>
          <w:u w:val="single" w:color="000000"/>
          <w:lang w:val="ru-RU" w:eastAsia="ru-RU"/>
        </w:rPr>
        <w:t>-99@</w:t>
      </w:r>
      <w:r w:rsidRPr="001228AD">
        <w:rPr>
          <w:rFonts w:ascii="Times New Roman" w:hAnsi="Times New Roman"/>
          <w:i/>
          <w:iCs/>
          <w:sz w:val="24"/>
          <w:szCs w:val="24"/>
          <w:u w:val="single" w:color="000000"/>
          <w:lang w:val="en-US" w:eastAsia="ru-RU"/>
        </w:rPr>
        <w:t>mail</w:t>
      </w:r>
      <w:r w:rsidRPr="001228AD">
        <w:rPr>
          <w:rFonts w:ascii="Times New Roman" w:hAnsi="Times New Roman"/>
          <w:i/>
          <w:iCs/>
          <w:sz w:val="24"/>
          <w:szCs w:val="24"/>
          <w:u w:val="single" w:color="000000"/>
          <w:lang w:val="ru-RU" w:eastAsia="ru-RU"/>
        </w:rPr>
        <w:t>.</w:t>
      </w:r>
      <w:r w:rsidRPr="001228AD">
        <w:rPr>
          <w:rFonts w:ascii="Times New Roman" w:hAnsi="Times New Roman"/>
          <w:i/>
          <w:iCs/>
          <w:sz w:val="24"/>
          <w:szCs w:val="24"/>
          <w:u w:val="single" w:color="000000"/>
          <w:lang w:val="en-US" w:eastAsia="ru-RU"/>
        </w:rPr>
        <w:t>ru</w:t>
      </w:r>
    </w:p>
    <w:p w14:paraId="4FDB49FE" w14:textId="11C09115" w:rsidR="00F3232E" w:rsidRPr="001228AD" w:rsidRDefault="00343449" w:rsidP="00F141F2">
      <w:pPr>
        <w:ind w:firstLine="397"/>
        <w:jc w:val="both"/>
      </w:pPr>
      <w:r w:rsidRPr="001228AD">
        <w:t xml:space="preserve">  </w:t>
      </w:r>
      <w:r w:rsidR="002E1C97" w:rsidRPr="001228AD">
        <w:t>Тройные галогениды с общей формулой A</w:t>
      </w:r>
      <w:r w:rsidR="002E1C97" w:rsidRPr="001228AD">
        <w:rPr>
          <w:vertAlign w:val="subscript"/>
        </w:rPr>
        <w:t>2</w:t>
      </w:r>
      <w:r w:rsidR="002E1C97" w:rsidRPr="001228AD">
        <w:t>B</w:t>
      </w:r>
      <w:r w:rsidR="002E1C97" w:rsidRPr="001228AD">
        <w:rPr>
          <w:vertAlign w:val="superscript"/>
        </w:rPr>
        <w:t>(I)</w:t>
      </w:r>
      <w:r w:rsidR="002E1C97" w:rsidRPr="001228AD">
        <w:t>B</w:t>
      </w:r>
      <w:r w:rsidR="002E1C97" w:rsidRPr="001228AD">
        <w:rPr>
          <w:vertAlign w:val="superscript"/>
        </w:rPr>
        <w:t>(III)</w:t>
      </w:r>
      <w:r w:rsidR="002E1C97" w:rsidRPr="001228AD">
        <w:t>X</w:t>
      </w:r>
      <w:r w:rsidR="002E1C97" w:rsidRPr="001228AD">
        <w:rPr>
          <w:vertAlign w:val="subscript"/>
        </w:rPr>
        <w:t>6</w:t>
      </w:r>
      <w:r w:rsidR="002E1C97" w:rsidRPr="001228AD">
        <w:t xml:space="preserve">, рассматриваются в качестве потенциальных альтернатив перовскитам галогенидов свинца в области </w:t>
      </w:r>
      <w:proofErr w:type="spellStart"/>
      <w:r w:rsidR="002E1C97" w:rsidRPr="001228AD">
        <w:t>фотовольтаики</w:t>
      </w:r>
      <w:proofErr w:type="spellEnd"/>
      <w:r w:rsidR="002E1C97" w:rsidRPr="001228AD">
        <w:t xml:space="preserve"> и фотолюминесценции. Светоизлучающие диоды (СИД), лазеры, фотодетекторы и т. д. на основе </w:t>
      </w:r>
      <w:proofErr w:type="spellStart"/>
      <w:r w:rsidR="002E1C97" w:rsidRPr="001228AD">
        <w:t>перовскитоподобных</w:t>
      </w:r>
      <w:proofErr w:type="spellEnd"/>
      <w:r w:rsidR="002E1C97" w:rsidRPr="001228AD">
        <w:t xml:space="preserve"> неорганических галогенидов делают их весьма перспективными. В числе составов двойных перовскитов, предсказанных теоретически, однако не полученных экспериментально, привлекательными задачами для синтеза являются фазы </w:t>
      </w:r>
      <w:r w:rsidR="002E1C97" w:rsidRPr="001228AD">
        <w:rPr>
          <w:lang w:val="en-US"/>
        </w:rPr>
        <w:t>Cs</w:t>
      </w:r>
      <w:r w:rsidR="002E1C97" w:rsidRPr="001228AD">
        <w:rPr>
          <w:vertAlign w:val="subscript"/>
        </w:rPr>
        <w:t>2</w:t>
      </w:r>
      <w:proofErr w:type="spellStart"/>
      <w:r w:rsidR="002E1C97" w:rsidRPr="001228AD">
        <w:rPr>
          <w:lang w:val="en-US"/>
        </w:rPr>
        <w:t>CuSbBr</w:t>
      </w:r>
      <w:proofErr w:type="spellEnd"/>
      <w:r w:rsidR="002E1C97" w:rsidRPr="001228AD">
        <w:rPr>
          <w:vertAlign w:val="subscript"/>
        </w:rPr>
        <w:t>6</w:t>
      </w:r>
      <w:r w:rsidR="002E1C97" w:rsidRPr="001228AD">
        <w:t xml:space="preserve">, </w:t>
      </w:r>
      <w:r w:rsidR="002E1C97" w:rsidRPr="001228AD">
        <w:rPr>
          <w:lang w:val="en-US"/>
        </w:rPr>
        <w:t>Cs</w:t>
      </w:r>
      <w:r w:rsidR="002E1C97" w:rsidRPr="001228AD">
        <w:rPr>
          <w:vertAlign w:val="subscript"/>
        </w:rPr>
        <w:t>2</w:t>
      </w:r>
      <w:proofErr w:type="spellStart"/>
      <w:r w:rsidR="002E1C97" w:rsidRPr="001228AD">
        <w:rPr>
          <w:lang w:val="en-US"/>
        </w:rPr>
        <w:t>AgSbBr</w:t>
      </w:r>
      <w:proofErr w:type="spellEnd"/>
      <w:r w:rsidR="002E1C97" w:rsidRPr="001228AD">
        <w:rPr>
          <w:vertAlign w:val="subscript"/>
        </w:rPr>
        <w:t>6</w:t>
      </w:r>
      <w:r w:rsidR="002E1C97" w:rsidRPr="001228AD">
        <w:t>, являющиеся полупроводниками и имеющими значения ширины запрещенной зоны 1.6 эВ, 1.93эВ и 2.07 эВ соответственно</w:t>
      </w:r>
      <w:r w:rsidR="004708E4" w:rsidRPr="001228AD">
        <w:t xml:space="preserve"> [1,2]</w:t>
      </w:r>
      <w:r w:rsidR="002E1C97" w:rsidRPr="001228AD">
        <w:t>.  В теоретической работе отмечают, что фаза Cs</w:t>
      </w:r>
      <w:r w:rsidR="002E1C97" w:rsidRPr="001228AD">
        <w:rPr>
          <w:vertAlign w:val="subscript"/>
        </w:rPr>
        <w:t>2</w:t>
      </w:r>
      <w:r w:rsidR="002E1C97" w:rsidRPr="001228AD">
        <w:t>CuSbBr</w:t>
      </w:r>
      <w:r w:rsidR="002E1C97" w:rsidRPr="001228AD">
        <w:rPr>
          <w:vertAlign w:val="subscript"/>
        </w:rPr>
        <w:t xml:space="preserve">6 </w:t>
      </w:r>
      <w:r w:rsidR="002E1C97" w:rsidRPr="001228AD">
        <w:t>термодинамически стабильна, находясь вне кристаллографически стабильной об</w:t>
      </w:r>
      <w:r w:rsidR="006270BA" w:rsidRPr="001228AD">
        <w:t>ласти</w:t>
      </w:r>
      <w:r w:rsidR="002E1C97" w:rsidRPr="001228AD">
        <w:t>. В данной работе представлены последние экспериментальные результаты по изучению процессов кристаллизации тройной системы простых бромидов CsBr-CuBr-SbBr</w:t>
      </w:r>
      <w:r w:rsidR="002E1C97" w:rsidRPr="001228AD">
        <w:rPr>
          <w:vertAlign w:val="subscript"/>
        </w:rPr>
        <w:t xml:space="preserve">3 </w:t>
      </w:r>
      <w:r w:rsidR="002E1C97" w:rsidRPr="001228AD">
        <w:t>в инт</w:t>
      </w:r>
      <w:r w:rsidR="00114A5A" w:rsidRPr="001228AD">
        <w:t>ервале температур 200 – 650°С.</w:t>
      </w:r>
      <w:r w:rsidRPr="001228AD">
        <w:t xml:space="preserve"> </w:t>
      </w:r>
      <w:r w:rsidR="002E1C97" w:rsidRPr="001228AD">
        <w:rPr>
          <w:b/>
          <w:bCs/>
        </w:rPr>
        <w:t>Целью научно-исследовательской работы</w:t>
      </w:r>
      <w:r w:rsidR="002E1C97" w:rsidRPr="001228AD">
        <w:t xml:space="preserve"> является сложных бромидов в тройных системах </w:t>
      </w:r>
      <w:proofErr w:type="spellStart"/>
      <w:r w:rsidR="002E1C97" w:rsidRPr="001228AD">
        <w:rPr>
          <w:lang w:val="en-US"/>
        </w:rPr>
        <w:t>CsBr</w:t>
      </w:r>
      <w:proofErr w:type="spellEnd"/>
      <w:r w:rsidR="002E1C97" w:rsidRPr="001228AD">
        <w:t>-</w:t>
      </w:r>
      <w:proofErr w:type="spellStart"/>
      <w:r w:rsidR="002E1C97" w:rsidRPr="001228AD">
        <w:rPr>
          <w:lang w:val="en-US"/>
        </w:rPr>
        <w:t>M</w:t>
      </w:r>
      <w:r w:rsidR="002E1C97" w:rsidRPr="001228AD">
        <w:rPr>
          <w:vertAlign w:val="superscript"/>
          <w:lang w:val="en-US"/>
        </w:rPr>
        <w:t>I</w:t>
      </w:r>
      <w:r w:rsidR="002E1C97" w:rsidRPr="001228AD">
        <w:rPr>
          <w:lang w:val="en-US"/>
        </w:rPr>
        <w:t>Br</w:t>
      </w:r>
      <w:proofErr w:type="spellEnd"/>
      <w:r w:rsidR="002E1C97" w:rsidRPr="001228AD">
        <w:t>-</w:t>
      </w:r>
      <w:proofErr w:type="spellStart"/>
      <w:r w:rsidR="002E1C97" w:rsidRPr="001228AD">
        <w:rPr>
          <w:lang w:val="en-US"/>
        </w:rPr>
        <w:t>M</w:t>
      </w:r>
      <w:r w:rsidR="002E1C97" w:rsidRPr="001228AD">
        <w:rPr>
          <w:vertAlign w:val="superscript"/>
          <w:lang w:val="en-US"/>
        </w:rPr>
        <w:t>III</w:t>
      </w:r>
      <w:r w:rsidR="002E1C97" w:rsidRPr="001228AD">
        <w:rPr>
          <w:lang w:val="en-US"/>
        </w:rPr>
        <w:t>Br</w:t>
      </w:r>
      <w:proofErr w:type="spellEnd"/>
      <w:r w:rsidR="002E1C97" w:rsidRPr="001228AD">
        <w:rPr>
          <w:vertAlign w:val="subscript"/>
        </w:rPr>
        <w:t xml:space="preserve">3 </w:t>
      </w:r>
      <w:r w:rsidR="002E1C97" w:rsidRPr="001228AD">
        <w:t>(</w:t>
      </w:r>
      <w:r w:rsidR="002E1C97" w:rsidRPr="001228AD">
        <w:rPr>
          <w:lang w:val="en-US"/>
        </w:rPr>
        <w:t>M</w:t>
      </w:r>
      <w:r w:rsidR="002E1C97" w:rsidRPr="001228AD">
        <w:rPr>
          <w:vertAlign w:val="superscript"/>
          <w:lang w:val="en-US"/>
        </w:rPr>
        <w:t>I</w:t>
      </w:r>
      <w:r w:rsidR="002E1C97" w:rsidRPr="001228AD">
        <w:rPr>
          <w:vertAlign w:val="subscript"/>
        </w:rPr>
        <w:t xml:space="preserve"> </w:t>
      </w:r>
      <w:r w:rsidR="002E1C97" w:rsidRPr="001228AD">
        <w:t xml:space="preserve">– </w:t>
      </w:r>
      <w:r w:rsidR="002E1C97" w:rsidRPr="001228AD">
        <w:rPr>
          <w:lang w:val="en-US"/>
        </w:rPr>
        <w:t>Cu</w:t>
      </w:r>
      <w:r w:rsidR="002E1C97" w:rsidRPr="001228AD">
        <w:t xml:space="preserve">, </w:t>
      </w:r>
      <w:r w:rsidR="002E1C97" w:rsidRPr="001228AD">
        <w:rPr>
          <w:lang w:val="en-US"/>
        </w:rPr>
        <w:t>Ag</w:t>
      </w:r>
      <w:r w:rsidR="002E1C97" w:rsidRPr="001228AD">
        <w:t xml:space="preserve">; </w:t>
      </w:r>
      <w:r w:rsidR="002E1C97" w:rsidRPr="001228AD">
        <w:rPr>
          <w:lang w:val="en-US"/>
        </w:rPr>
        <w:t>M</w:t>
      </w:r>
      <w:r w:rsidR="002E1C97" w:rsidRPr="001228AD">
        <w:rPr>
          <w:vertAlign w:val="superscript"/>
          <w:lang w:val="en-US"/>
        </w:rPr>
        <w:t>III</w:t>
      </w:r>
      <w:r w:rsidR="002E1C97" w:rsidRPr="001228AD">
        <w:rPr>
          <w:vertAlign w:val="superscript"/>
        </w:rPr>
        <w:t xml:space="preserve"> </w:t>
      </w:r>
      <w:r w:rsidR="002E1C97" w:rsidRPr="001228AD">
        <w:t xml:space="preserve">– </w:t>
      </w:r>
      <w:r w:rsidR="002E1C97" w:rsidRPr="001228AD">
        <w:rPr>
          <w:lang w:val="en-US"/>
        </w:rPr>
        <w:t>Sb</w:t>
      </w:r>
      <w:r w:rsidR="002E1C97" w:rsidRPr="001228AD">
        <w:t xml:space="preserve">, </w:t>
      </w:r>
      <w:r w:rsidR="002E1C97" w:rsidRPr="001228AD">
        <w:rPr>
          <w:lang w:val="en-US"/>
        </w:rPr>
        <w:t>Bi</w:t>
      </w:r>
      <w:r w:rsidR="002E1C97" w:rsidRPr="001228AD">
        <w:t>) и исследование оптических свойств полученных образцов.</w:t>
      </w:r>
      <w:r w:rsidRPr="001228AD">
        <w:t xml:space="preserve">   В связи с этим, в работе поставлены следующие задачи: </w:t>
      </w:r>
      <w:r w:rsidR="00D32F0F" w:rsidRPr="001228AD">
        <w:t xml:space="preserve">1) </w:t>
      </w:r>
      <w:r w:rsidR="00F3232E" w:rsidRPr="001228AD">
        <w:t>Изучение условий формирования фазы Cs</w:t>
      </w:r>
      <w:r w:rsidR="00F3232E" w:rsidRPr="006A4DB9">
        <w:rPr>
          <w:vertAlign w:val="subscript"/>
        </w:rPr>
        <w:t>2</w:t>
      </w:r>
      <w:r w:rsidR="00F3232E" w:rsidRPr="001228AD">
        <w:t>AgBiBr</w:t>
      </w:r>
      <w:r w:rsidR="00F3232E" w:rsidRPr="006A4DB9">
        <w:rPr>
          <w:vertAlign w:val="subscript"/>
        </w:rPr>
        <w:t>6</w:t>
      </w:r>
      <w:r w:rsidR="00F3232E" w:rsidRPr="001228AD">
        <w:t xml:space="preserve"> со структурой двойного перовскита методами расплавного ампульного, твердофазного и растворного синтезов</w:t>
      </w:r>
      <w:r w:rsidR="00A5640F" w:rsidRPr="00A5640F">
        <w:t>;</w:t>
      </w:r>
      <w:r w:rsidR="00D32F0F" w:rsidRPr="001228AD">
        <w:t xml:space="preserve"> 2) </w:t>
      </w:r>
      <w:r w:rsidR="00F3232E" w:rsidRPr="001228AD">
        <w:t>Определение областей гомогенности в бинарной системе CsAg</w:t>
      </w:r>
      <w:r w:rsidR="00F3232E" w:rsidRPr="006A4DB9">
        <w:rPr>
          <w:vertAlign w:val="subscript"/>
        </w:rPr>
        <w:t>x</w:t>
      </w:r>
      <w:r w:rsidR="00F3232E" w:rsidRPr="001228AD">
        <w:t>Cu</w:t>
      </w:r>
      <w:r w:rsidR="00F3232E" w:rsidRPr="006A4DB9">
        <w:rPr>
          <w:vertAlign w:val="subscript"/>
        </w:rPr>
        <w:t>2-2x</w:t>
      </w:r>
      <w:r w:rsidR="00F3232E" w:rsidRPr="001228AD">
        <w:t>Br</w:t>
      </w:r>
      <w:r w:rsidR="00F3232E" w:rsidRPr="006A4DB9">
        <w:rPr>
          <w:vertAlign w:val="subscript"/>
        </w:rPr>
        <w:t>3</w:t>
      </w:r>
      <w:r w:rsidR="00F3232E" w:rsidRPr="001228AD">
        <w:t xml:space="preserve"> (х = 0 – 1) в условиях ампульного синтеза (Т = 300°С и 650°С)</w:t>
      </w:r>
      <w:r w:rsidR="00A5640F" w:rsidRPr="00A5640F">
        <w:t>;</w:t>
      </w:r>
      <w:r w:rsidR="00E93FE9" w:rsidRPr="001228AD">
        <w:t xml:space="preserve"> 3)</w:t>
      </w:r>
      <w:r w:rsidR="00A5640F" w:rsidRPr="00A5640F">
        <w:t xml:space="preserve"> </w:t>
      </w:r>
      <w:r w:rsidR="00F3232E" w:rsidRPr="001228AD">
        <w:t>Определение областей гомогенности в бинарной системе Cs</w:t>
      </w:r>
      <w:r w:rsidR="00A5640F" w:rsidRPr="006A4DB9">
        <w:rPr>
          <w:vertAlign w:val="subscript"/>
        </w:rPr>
        <w:t>3</w:t>
      </w:r>
      <w:r w:rsidR="00F3232E" w:rsidRPr="001228AD">
        <w:t>Bi</w:t>
      </w:r>
      <w:r w:rsidR="00F3232E" w:rsidRPr="006A4DB9">
        <w:rPr>
          <w:vertAlign w:val="subscript"/>
        </w:rPr>
        <w:t>2-2x</w:t>
      </w:r>
      <w:r w:rsidR="00F3232E" w:rsidRPr="001228AD">
        <w:t>Sb</w:t>
      </w:r>
      <w:r w:rsidR="00F3232E" w:rsidRPr="006A4DB9">
        <w:rPr>
          <w:vertAlign w:val="subscript"/>
        </w:rPr>
        <w:t>x</w:t>
      </w:r>
      <w:r w:rsidR="00F3232E" w:rsidRPr="001228AD">
        <w:t>Br</w:t>
      </w:r>
      <w:r w:rsidR="00F3232E" w:rsidRPr="006A4DB9">
        <w:rPr>
          <w:vertAlign w:val="subscript"/>
        </w:rPr>
        <w:t>9</w:t>
      </w:r>
      <w:r w:rsidR="00F3232E" w:rsidRPr="001228AD">
        <w:t xml:space="preserve"> (x = 0 – 1) в условиях ампульного синтеза (Т = 450°С, 650°С)</w:t>
      </w:r>
      <w:r w:rsidR="00F141F2" w:rsidRPr="00F141F2">
        <w:t>;</w:t>
      </w:r>
      <w:r w:rsidR="00E93FE9" w:rsidRPr="001228AD">
        <w:t xml:space="preserve"> </w:t>
      </w:r>
      <w:r w:rsidR="00F15A5F" w:rsidRPr="001228AD">
        <w:t>4</w:t>
      </w:r>
      <w:r w:rsidR="00E93FE9" w:rsidRPr="001228AD">
        <w:t>)</w:t>
      </w:r>
      <w:r w:rsidR="00F141F2">
        <w:t xml:space="preserve"> </w:t>
      </w:r>
      <w:r w:rsidR="00F3232E" w:rsidRPr="001228AD">
        <w:t>Изучение фазовых равновесий в бинарной системе CsCu</w:t>
      </w:r>
      <w:r w:rsidR="00F3232E" w:rsidRPr="006A4DB9">
        <w:rPr>
          <w:vertAlign w:val="subscript"/>
        </w:rPr>
        <w:t>2</w:t>
      </w:r>
      <w:r w:rsidR="00F3232E" w:rsidRPr="001228AD">
        <w:t>Br</w:t>
      </w:r>
      <w:r w:rsidR="00F3232E" w:rsidRPr="006A4DB9">
        <w:rPr>
          <w:vertAlign w:val="subscript"/>
        </w:rPr>
        <w:t>3</w:t>
      </w:r>
      <w:r w:rsidR="00F3232E" w:rsidRPr="001228AD">
        <w:t xml:space="preserve"> – Cs</w:t>
      </w:r>
      <w:r w:rsidR="00F3232E" w:rsidRPr="006A4DB9">
        <w:rPr>
          <w:vertAlign w:val="subscript"/>
        </w:rPr>
        <w:t>3</w:t>
      </w:r>
      <w:r w:rsidR="00F3232E" w:rsidRPr="001228AD">
        <w:t>Sb</w:t>
      </w:r>
      <w:r w:rsidR="00F3232E" w:rsidRPr="006A4DB9">
        <w:rPr>
          <w:vertAlign w:val="subscript"/>
        </w:rPr>
        <w:t>2</w:t>
      </w:r>
      <w:r w:rsidR="00F3232E" w:rsidRPr="001228AD">
        <w:t>Br</w:t>
      </w:r>
      <w:r w:rsidR="00F3232E" w:rsidRPr="006A4DB9">
        <w:rPr>
          <w:vertAlign w:val="subscript"/>
        </w:rPr>
        <w:t>9</w:t>
      </w:r>
      <w:r w:rsidR="00F141F2" w:rsidRPr="00F141F2">
        <w:t>;</w:t>
      </w:r>
      <w:r w:rsidR="00E93FE9" w:rsidRPr="001228AD">
        <w:t xml:space="preserve"> </w:t>
      </w:r>
      <w:r w:rsidR="00F15A5F" w:rsidRPr="001228AD">
        <w:t>5</w:t>
      </w:r>
      <w:r w:rsidR="004B0D7A" w:rsidRPr="001228AD">
        <w:t>)</w:t>
      </w:r>
      <w:r w:rsidR="006A4DB9" w:rsidRPr="006A4DB9">
        <w:t xml:space="preserve"> </w:t>
      </w:r>
      <w:r w:rsidR="00F3232E" w:rsidRPr="001228AD">
        <w:t>Поиск условий окна стабильности фазы Cs</w:t>
      </w:r>
      <w:r w:rsidR="00F3232E" w:rsidRPr="006A4DB9">
        <w:rPr>
          <w:vertAlign w:val="subscript"/>
        </w:rPr>
        <w:t>2</w:t>
      </w:r>
      <w:r w:rsidR="00F3232E" w:rsidRPr="001228AD">
        <w:t>CuSbBr</w:t>
      </w:r>
      <w:r w:rsidR="00F3232E" w:rsidRPr="006A4DB9">
        <w:rPr>
          <w:vertAlign w:val="subscript"/>
        </w:rPr>
        <w:t>6</w:t>
      </w:r>
      <w:r w:rsidR="00F3232E" w:rsidRPr="001228AD">
        <w:t xml:space="preserve"> со структурой двойного перовскита</w:t>
      </w:r>
      <w:r w:rsidR="00F141F2" w:rsidRPr="00F141F2">
        <w:t>;</w:t>
      </w:r>
      <w:r w:rsidR="00F15A5F" w:rsidRPr="001228AD">
        <w:t xml:space="preserve"> 6)</w:t>
      </w:r>
      <w:r w:rsidR="006A4DB9" w:rsidRPr="006A4DB9">
        <w:t xml:space="preserve"> </w:t>
      </w:r>
      <w:r w:rsidR="00F3232E" w:rsidRPr="001228AD">
        <w:t>Изучение областей гомогенности для бинарных систем Cs</w:t>
      </w:r>
      <w:r w:rsidR="00F3232E" w:rsidRPr="006A4DB9">
        <w:rPr>
          <w:vertAlign w:val="subscript"/>
        </w:rPr>
        <w:t>2</w:t>
      </w:r>
      <w:r w:rsidR="00F3232E" w:rsidRPr="001228AD">
        <w:t>Ag</w:t>
      </w:r>
      <w:r w:rsidR="00F3232E" w:rsidRPr="006A4DB9">
        <w:rPr>
          <w:vertAlign w:val="subscript"/>
        </w:rPr>
        <w:t>1-x</w:t>
      </w:r>
      <w:r w:rsidR="00F3232E" w:rsidRPr="001228AD">
        <w:t>Cu</w:t>
      </w:r>
      <w:r w:rsidR="00F3232E" w:rsidRPr="006A4DB9">
        <w:rPr>
          <w:vertAlign w:val="subscript"/>
        </w:rPr>
        <w:t>x</w:t>
      </w:r>
      <w:r w:rsidR="00F3232E" w:rsidRPr="001228AD">
        <w:t>BiBr</w:t>
      </w:r>
      <w:r w:rsidR="00F3232E" w:rsidRPr="006A4DB9">
        <w:rPr>
          <w:vertAlign w:val="subscript"/>
        </w:rPr>
        <w:t>6</w:t>
      </w:r>
      <w:r w:rsidR="00F3232E" w:rsidRPr="001228AD">
        <w:t xml:space="preserve"> (x = 0 – 1) и Сs</w:t>
      </w:r>
      <w:r w:rsidR="00F3232E" w:rsidRPr="006A4DB9">
        <w:rPr>
          <w:vertAlign w:val="subscript"/>
        </w:rPr>
        <w:t>2</w:t>
      </w:r>
      <w:r w:rsidR="00F3232E" w:rsidRPr="001228AD">
        <w:t>AgBi</w:t>
      </w:r>
      <w:r w:rsidR="00F3232E" w:rsidRPr="006A4DB9">
        <w:rPr>
          <w:vertAlign w:val="subscript"/>
        </w:rPr>
        <w:t>1-y</w:t>
      </w:r>
      <w:r w:rsidR="00F3232E" w:rsidRPr="001228AD">
        <w:t>Sb</w:t>
      </w:r>
      <w:r w:rsidR="00F3232E" w:rsidRPr="006A4DB9">
        <w:rPr>
          <w:vertAlign w:val="subscript"/>
        </w:rPr>
        <w:t>y</w:t>
      </w:r>
      <w:r w:rsidR="00F3232E" w:rsidRPr="001228AD">
        <w:t>Br</w:t>
      </w:r>
      <w:r w:rsidR="00F3232E" w:rsidRPr="006A4DB9">
        <w:rPr>
          <w:vertAlign w:val="subscript"/>
        </w:rPr>
        <w:t>6</w:t>
      </w:r>
      <w:r w:rsidR="00F3232E" w:rsidRPr="001228AD">
        <w:t xml:space="preserve"> (y = 0 – 1). </w:t>
      </w:r>
    </w:p>
    <w:p w14:paraId="2AB2702A" w14:textId="12B77FB3" w:rsidR="00C61C40" w:rsidRPr="001228AD" w:rsidRDefault="00FD7C03" w:rsidP="00095864">
      <w:pPr>
        <w:ind w:left="-142" w:firstLine="539"/>
        <w:jc w:val="both"/>
      </w:pPr>
      <w:r w:rsidRPr="001228AD">
        <w:t xml:space="preserve">   </w:t>
      </w:r>
      <w:r w:rsidR="002E1C97" w:rsidRPr="001228AD">
        <w:t xml:space="preserve"> Твердофазный и </w:t>
      </w:r>
      <w:proofErr w:type="spellStart"/>
      <w:r w:rsidR="002E1C97" w:rsidRPr="001228AD">
        <w:t>гетерофазный</w:t>
      </w:r>
      <w:proofErr w:type="spellEnd"/>
      <w:r w:rsidR="002E1C97" w:rsidRPr="001228AD">
        <w:t xml:space="preserve"> ампульный синтез использовался в качестве основных подходов при синтезе композиций двойных перовскитов, бинарных бромидов, а также при исследовании различных бинарных участков в составе этих тройных систем. Образцы теоретически предсказанного состава двойного перовскита </w:t>
      </w:r>
      <w:r w:rsidR="002E1C97" w:rsidRPr="001228AD">
        <w:rPr>
          <w:lang w:val="en-US"/>
        </w:rPr>
        <w:t>Cs</w:t>
      </w:r>
      <w:r w:rsidR="002E1C97" w:rsidRPr="001228AD">
        <w:rPr>
          <w:vertAlign w:val="subscript"/>
        </w:rPr>
        <w:t>2</w:t>
      </w:r>
      <w:proofErr w:type="spellStart"/>
      <w:r w:rsidR="002E1C97" w:rsidRPr="001228AD">
        <w:rPr>
          <w:lang w:val="en-US"/>
        </w:rPr>
        <w:t>CuSbBr</w:t>
      </w:r>
      <w:proofErr w:type="spellEnd"/>
      <w:r w:rsidR="002E1C97" w:rsidRPr="001228AD">
        <w:rPr>
          <w:vertAlign w:val="subscript"/>
        </w:rPr>
        <w:t>6</w:t>
      </w:r>
      <w:r w:rsidR="002E1C97" w:rsidRPr="001228AD">
        <w:t xml:space="preserve"> были синтезированы твердофазным или </w:t>
      </w:r>
      <w:proofErr w:type="spellStart"/>
      <w:r w:rsidR="002E1C97" w:rsidRPr="001228AD">
        <w:t>гетерофазным</w:t>
      </w:r>
      <w:proofErr w:type="spellEnd"/>
      <w:r w:rsidR="002E1C97" w:rsidRPr="001228AD">
        <w:t xml:space="preserve"> ампульным методами. Отжиги проводились при </w:t>
      </w:r>
      <w:r w:rsidR="002E1C97" w:rsidRPr="001228AD">
        <w:rPr>
          <w:lang w:val="en-US"/>
        </w:rPr>
        <w:t>T</w:t>
      </w:r>
      <w:r w:rsidR="002E1C97" w:rsidRPr="001228AD">
        <w:t xml:space="preserve"> =200-650 °</w:t>
      </w:r>
      <w:r w:rsidR="002E1C97" w:rsidRPr="001228AD">
        <w:rPr>
          <w:lang w:val="en-US"/>
        </w:rPr>
        <w:t>C</w:t>
      </w:r>
      <w:r w:rsidR="002E1C97" w:rsidRPr="001228AD">
        <w:t xml:space="preserve">, а продолжительность экспериментов составляла </w:t>
      </w:r>
      <w:r w:rsidR="00BC3C51" w:rsidRPr="001228AD">
        <w:t>12-96</w:t>
      </w:r>
      <w:r w:rsidR="002E1C97" w:rsidRPr="001228AD">
        <w:t xml:space="preserve"> часов</w:t>
      </w:r>
      <w:r w:rsidR="00B14E8E" w:rsidRPr="001228AD">
        <w:t>.</w:t>
      </w:r>
      <w:r w:rsidR="00C61C40" w:rsidRPr="001228AD">
        <w:t xml:space="preserve">  Установлено, что фаза </w:t>
      </w:r>
      <w:r w:rsidR="00C61C40" w:rsidRPr="001228AD">
        <w:rPr>
          <w:lang w:val="en-US"/>
        </w:rPr>
        <w:t>Cs</w:t>
      </w:r>
      <w:r w:rsidR="00C61C40" w:rsidRPr="001228AD">
        <w:rPr>
          <w:vertAlign w:val="subscript"/>
        </w:rPr>
        <w:t>2</w:t>
      </w:r>
      <w:proofErr w:type="spellStart"/>
      <w:r w:rsidR="00C61C40" w:rsidRPr="001228AD">
        <w:rPr>
          <w:lang w:val="en-US"/>
        </w:rPr>
        <w:t>AgBiBr</w:t>
      </w:r>
      <w:proofErr w:type="spellEnd"/>
      <w:r w:rsidR="00C61C40" w:rsidRPr="001228AD">
        <w:rPr>
          <w:vertAlign w:val="subscript"/>
        </w:rPr>
        <w:t xml:space="preserve">6 </w:t>
      </w:r>
      <w:r w:rsidR="00C61C40" w:rsidRPr="001228AD">
        <w:t>стабильна при температуре отжига 300</w:t>
      </w:r>
      <w:r w:rsidR="00C61C40" w:rsidRPr="001228AD">
        <w:rPr>
          <w:vertAlign w:val="superscript"/>
        </w:rPr>
        <w:t>о</w:t>
      </w:r>
      <w:r w:rsidR="00C61C40" w:rsidRPr="001228AD">
        <w:t>С. При 350</w:t>
      </w:r>
      <w:r w:rsidR="00C61C40" w:rsidRPr="001228AD">
        <w:rPr>
          <w:vertAlign w:val="superscript"/>
        </w:rPr>
        <w:t>о</w:t>
      </w:r>
      <w:r w:rsidR="00C61C40" w:rsidRPr="001228AD">
        <w:t xml:space="preserve">С и выше структура не стабильна. Показано, что частичное замещение медь в </w:t>
      </w:r>
      <w:proofErr w:type="spellStart"/>
      <w:r w:rsidR="00C61C40" w:rsidRPr="001228AD">
        <w:rPr>
          <w:lang w:val="en-US"/>
        </w:rPr>
        <w:t>CsCu</w:t>
      </w:r>
      <w:proofErr w:type="spellEnd"/>
      <w:r w:rsidR="00C61C40" w:rsidRPr="001228AD">
        <w:rPr>
          <w:vertAlign w:val="subscript"/>
        </w:rPr>
        <w:t>2</w:t>
      </w:r>
      <w:r w:rsidR="00C61C40" w:rsidRPr="001228AD">
        <w:rPr>
          <w:lang w:val="en-US"/>
        </w:rPr>
        <w:t>Br</w:t>
      </w:r>
      <w:r w:rsidR="00C61C40" w:rsidRPr="001228AD">
        <w:rPr>
          <w:vertAlign w:val="subscript"/>
        </w:rPr>
        <w:t>3</w:t>
      </w:r>
      <w:r w:rsidR="00C61C40" w:rsidRPr="001228AD">
        <w:t xml:space="preserve"> на серебро (</w:t>
      </w:r>
      <w:r w:rsidR="00C61C40" w:rsidRPr="001228AD">
        <w:rPr>
          <w:lang w:val="en-US"/>
        </w:rPr>
        <w:t>CsAg</w:t>
      </w:r>
      <w:r w:rsidR="00C61C40" w:rsidRPr="001228AD">
        <w:rPr>
          <w:vertAlign w:val="subscript"/>
          <w:lang w:val="en-US"/>
        </w:rPr>
        <w:t>x</w:t>
      </w:r>
      <w:r w:rsidR="00C61C40" w:rsidRPr="001228AD">
        <w:rPr>
          <w:lang w:val="en-US"/>
        </w:rPr>
        <w:t>Cu</w:t>
      </w:r>
      <w:r w:rsidR="00C61C40" w:rsidRPr="001228AD">
        <w:rPr>
          <w:vertAlign w:val="subscript"/>
        </w:rPr>
        <w:t>2-2</w:t>
      </w:r>
      <w:proofErr w:type="spellStart"/>
      <w:r w:rsidR="00C61C40" w:rsidRPr="001228AD">
        <w:rPr>
          <w:vertAlign w:val="subscript"/>
          <w:lang w:val="en-US"/>
        </w:rPr>
        <w:t>x</w:t>
      </w:r>
      <w:r w:rsidR="00C61C40" w:rsidRPr="001228AD">
        <w:rPr>
          <w:lang w:val="en-US"/>
        </w:rPr>
        <w:t>Br</w:t>
      </w:r>
      <w:proofErr w:type="spellEnd"/>
      <w:r w:rsidR="00C61C40" w:rsidRPr="001228AD">
        <w:rPr>
          <w:vertAlign w:val="subscript"/>
        </w:rPr>
        <w:t>3</w:t>
      </w:r>
      <w:r w:rsidR="00114A5A" w:rsidRPr="001228AD">
        <w:t>)</w:t>
      </w:r>
      <w:r w:rsidR="00C61C40" w:rsidRPr="001228AD">
        <w:t xml:space="preserve"> приводить к уменьшению дефектных уровней поглощения или красному сдвигу края поглощения. При х=0.03-0.15 образование твердых растворов не наблюдается.</w:t>
      </w:r>
      <w:r w:rsidR="002767E1" w:rsidRPr="001228AD">
        <w:t xml:space="preserve"> </w:t>
      </w:r>
      <w:r w:rsidR="00C61C40" w:rsidRPr="001228AD">
        <w:t xml:space="preserve">По результатам РФА определено, что состав </w:t>
      </w:r>
      <w:r w:rsidR="00C61C40" w:rsidRPr="001228AD">
        <w:rPr>
          <w:lang w:val="en-US"/>
        </w:rPr>
        <w:t>Cs</w:t>
      </w:r>
      <w:r w:rsidR="00C61C40" w:rsidRPr="001228AD">
        <w:rPr>
          <w:vertAlign w:val="subscript"/>
        </w:rPr>
        <w:t>2</w:t>
      </w:r>
      <w:r w:rsidR="00C61C40" w:rsidRPr="001228AD">
        <w:rPr>
          <w:lang w:val="en-US"/>
        </w:rPr>
        <w:t>Bi</w:t>
      </w:r>
      <w:r w:rsidR="00C61C40" w:rsidRPr="001228AD">
        <w:rPr>
          <w:vertAlign w:val="subscript"/>
        </w:rPr>
        <w:t>2-2</w:t>
      </w:r>
      <w:proofErr w:type="spellStart"/>
      <w:r w:rsidR="00C61C40" w:rsidRPr="001228AD">
        <w:rPr>
          <w:vertAlign w:val="subscript"/>
          <w:lang w:val="en-US"/>
        </w:rPr>
        <w:t>x</w:t>
      </w:r>
      <w:r w:rsidR="00C61C40" w:rsidRPr="001228AD">
        <w:rPr>
          <w:lang w:val="en-US"/>
        </w:rPr>
        <w:t>Sb</w:t>
      </w:r>
      <w:r w:rsidR="00C61C40" w:rsidRPr="001228AD">
        <w:rPr>
          <w:vertAlign w:val="subscript"/>
          <w:lang w:val="en-US"/>
        </w:rPr>
        <w:t>x</w:t>
      </w:r>
      <w:r w:rsidR="00C61C40" w:rsidRPr="001228AD">
        <w:rPr>
          <w:lang w:val="en-US"/>
        </w:rPr>
        <w:t>Br</w:t>
      </w:r>
      <w:proofErr w:type="spellEnd"/>
      <w:r w:rsidR="00C61C40" w:rsidRPr="001228AD">
        <w:rPr>
          <w:vertAlign w:val="subscript"/>
        </w:rPr>
        <w:t>9</w:t>
      </w:r>
      <w:r w:rsidR="00C61C40" w:rsidRPr="001228AD">
        <w:t xml:space="preserve"> является твердым раствором при </w:t>
      </w:r>
      <w:r w:rsidR="00C61C40" w:rsidRPr="001228AD">
        <w:rPr>
          <w:lang w:val="en-US"/>
        </w:rPr>
        <w:t>x</w:t>
      </w:r>
      <w:r w:rsidR="00114A5A" w:rsidRPr="001228AD">
        <w:t xml:space="preserve"> = 0 – 1.</w:t>
      </w:r>
      <w:r w:rsidR="00C61C40" w:rsidRPr="001228AD">
        <w:t xml:space="preserve"> В разрезе CsCu</w:t>
      </w:r>
      <w:r w:rsidR="00C61C40" w:rsidRPr="001228AD">
        <w:rPr>
          <w:vertAlign w:val="subscript"/>
        </w:rPr>
        <w:t>2</w:t>
      </w:r>
      <w:r w:rsidR="00C61C40" w:rsidRPr="001228AD">
        <w:t>Br</w:t>
      </w:r>
      <w:r w:rsidR="00C61C40" w:rsidRPr="001228AD">
        <w:rPr>
          <w:vertAlign w:val="subscript"/>
        </w:rPr>
        <w:t>3</w:t>
      </w:r>
      <w:r w:rsidR="00C61C40" w:rsidRPr="001228AD">
        <w:t>-Cs</w:t>
      </w:r>
      <w:r w:rsidR="00C61C40" w:rsidRPr="001228AD">
        <w:rPr>
          <w:vertAlign w:val="subscript"/>
        </w:rPr>
        <w:t>3</w:t>
      </w:r>
      <w:r w:rsidR="00C61C40" w:rsidRPr="001228AD">
        <w:t>Sb</w:t>
      </w:r>
      <w:r w:rsidR="00C61C40" w:rsidRPr="001228AD">
        <w:rPr>
          <w:vertAlign w:val="subscript"/>
        </w:rPr>
        <w:t>2</w:t>
      </w:r>
      <w:r w:rsidR="00C61C40" w:rsidRPr="001228AD">
        <w:t>Br</w:t>
      </w:r>
      <w:r w:rsidR="00C61C40" w:rsidRPr="001228AD">
        <w:rPr>
          <w:vertAlign w:val="subscript"/>
        </w:rPr>
        <w:t xml:space="preserve">9 </w:t>
      </w:r>
      <w:r w:rsidR="00C61C40" w:rsidRPr="001228AD">
        <w:t>не наблюдается образовани</w:t>
      </w:r>
      <w:r w:rsidR="003F2932">
        <w:t>я</w:t>
      </w:r>
      <w:r w:rsidR="00C61C40" w:rsidRPr="001228AD">
        <w:t xml:space="preserve"> двойного перовскита, твердых растворов или простых бромидов, что свидетельствует о бинарности этого разреза. </w:t>
      </w:r>
      <w:r w:rsidR="00B14E8E" w:rsidRPr="001228AD">
        <w:t xml:space="preserve"> </w:t>
      </w:r>
      <w:r w:rsidR="00C61C40" w:rsidRPr="001228AD">
        <w:t xml:space="preserve">В тройной системе </w:t>
      </w:r>
      <w:proofErr w:type="spellStart"/>
      <w:r w:rsidR="00C61C40" w:rsidRPr="001228AD">
        <w:rPr>
          <w:lang w:val="en-US"/>
        </w:rPr>
        <w:t>CsBr</w:t>
      </w:r>
      <w:proofErr w:type="spellEnd"/>
      <w:r w:rsidR="00C61C40" w:rsidRPr="001228AD">
        <w:t>-</w:t>
      </w:r>
      <w:r w:rsidR="00C61C40" w:rsidRPr="001228AD">
        <w:rPr>
          <w:lang w:val="en-US"/>
        </w:rPr>
        <w:t>CuBr</w:t>
      </w:r>
      <w:r w:rsidR="00C61C40" w:rsidRPr="001228AD">
        <w:t>-</w:t>
      </w:r>
      <w:proofErr w:type="spellStart"/>
      <w:r w:rsidR="00C61C40" w:rsidRPr="001228AD">
        <w:rPr>
          <w:lang w:val="en-US"/>
        </w:rPr>
        <w:t>SbBr</w:t>
      </w:r>
      <w:proofErr w:type="spellEnd"/>
      <w:r w:rsidR="00C61C40" w:rsidRPr="001228AD">
        <w:rPr>
          <w:vertAlign w:val="subscript"/>
        </w:rPr>
        <w:t>3</w:t>
      </w:r>
      <w:r w:rsidR="00C61C40" w:rsidRPr="001228AD">
        <w:t xml:space="preserve"> при условиях синтеза – Т=200-650°С, </w:t>
      </w:r>
      <w:r w:rsidR="00C61C40" w:rsidRPr="001228AD">
        <w:rPr>
          <w:lang w:val="en-US"/>
        </w:rPr>
        <w:t>t</w:t>
      </w:r>
      <w:r w:rsidR="00114A5A" w:rsidRPr="001228AD">
        <w:t>=</w:t>
      </w:r>
      <w:r w:rsidR="00C61C40" w:rsidRPr="001228AD">
        <w:t>12-48 ч. образование двойного перовскита не наблюдается.</w:t>
      </w:r>
    </w:p>
    <w:p w14:paraId="763F6B58" w14:textId="66F0BBB5" w:rsidR="007814F2" w:rsidRPr="003F2932" w:rsidRDefault="007814F2" w:rsidP="000958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228AD">
        <w:rPr>
          <w:b/>
          <w:color w:val="000000"/>
        </w:rPr>
        <w:t>Литература</w:t>
      </w:r>
    </w:p>
    <w:p w14:paraId="1A85BB66" w14:textId="77777777" w:rsidR="00114A5A" w:rsidRPr="001228AD" w:rsidRDefault="00114A5A" w:rsidP="00095864">
      <w:pPr>
        <w:ind w:left="-170"/>
        <w:jc w:val="both"/>
        <w:rPr>
          <w:lang w:val="en-US"/>
        </w:rPr>
      </w:pPr>
      <w:r w:rsidRPr="003F2932">
        <w:t>1.</w:t>
      </w:r>
      <w:proofErr w:type="spellStart"/>
      <w:r w:rsidRPr="001228AD">
        <w:rPr>
          <w:lang w:val="en-US"/>
        </w:rPr>
        <w:t>Volonakis</w:t>
      </w:r>
      <w:proofErr w:type="spellEnd"/>
      <w:r w:rsidRPr="003F2932">
        <w:t xml:space="preserve"> </w:t>
      </w:r>
      <w:r w:rsidRPr="001228AD">
        <w:rPr>
          <w:lang w:val="en-US"/>
        </w:rPr>
        <w:t>G</w:t>
      </w:r>
      <w:r w:rsidRPr="003F2932">
        <w:t xml:space="preserve">. </w:t>
      </w:r>
      <w:r w:rsidRPr="001228AD">
        <w:rPr>
          <w:lang w:val="en-US"/>
        </w:rPr>
        <w:t>et</w:t>
      </w:r>
      <w:r w:rsidRPr="003F2932">
        <w:t xml:space="preserve"> </w:t>
      </w:r>
      <w:r w:rsidRPr="001228AD">
        <w:rPr>
          <w:lang w:val="en-US"/>
        </w:rPr>
        <w:t>al</w:t>
      </w:r>
      <w:r w:rsidRPr="003F2932">
        <w:t xml:space="preserve">. </w:t>
      </w:r>
      <w:r w:rsidRPr="001228AD">
        <w:rPr>
          <w:lang w:val="en-US"/>
        </w:rPr>
        <w:t xml:space="preserve">Lead-Free Halide Double Perovskites via </w:t>
      </w:r>
      <w:proofErr w:type="spellStart"/>
      <w:r w:rsidRPr="001228AD">
        <w:rPr>
          <w:lang w:val="en-US"/>
        </w:rPr>
        <w:t>Heterovalent</w:t>
      </w:r>
      <w:proofErr w:type="spellEnd"/>
      <w:r w:rsidRPr="001228AD">
        <w:rPr>
          <w:lang w:val="en-US"/>
        </w:rPr>
        <w:t xml:space="preserve"> Substitution of Noble Metals // J. Phys. Chem. Lett. 2016. Vol. 7, № 7. P. 1254–1259.</w:t>
      </w:r>
    </w:p>
    <w:p w14:paraId="318B7202" w14:textId="4A585FB5" w:rsidR="00EF6461" w:rsidRPr="001228AD" w:rsidRDefault="001D78C1" w:rsidP="00095864">
      <w:pPr>
        <w:ind w:left="-170"/>
        <w:jc w:val="both"/>
        <w:rPr>
          <w:lang w:val="en-US"/>
        </w:rPr>
      </w:pPr>
      <w:r w:rsidRPr="001228AD">
        <w:rPr>
          <w:lang w:val="en-US"/>
        </w:rPr>
        <w:t>2. Wu C. et al. The Dawn of Lead</w:t>
      </w:r>
      <w:r w:rsidRPr="001228AD">
        <w:rPr>
          <w:rFonts w:ascii="Cambria Math" w:hAnsi="Cambria Math" w:cs="Cambria Math"/>
          <w:lang w:val="en-US"/>
        </w:rPr>
        <w:t>‐</w:t>
      </w:r>
      <w:r w:rsidRPr="001228AD">
        <w:rPr>
          <w:lang w:val="en-US"/>
        </w:rPr>
        <w:t>Free Perovskite Solar Cell: Highly Stable Double Perovskite Cs</w:t>
      </w:r>
      <w:r w:rsidRPr="001228AD">
        <w:rPr>
          <w:vertAlign w:val="subscript"/>
          <w:lang w:val="en-US"/>
        </w:rPr>
        <w:t>2</w:t>
      </w:r>
      <w:r w:rsidRPr="001228AD">
        <w:rPr>
          <w:lang w:val="en-US"/>
        </w:rPr>
        <w:t>AgBiBr</w:t>
      </w:r>
      <w:r w:rsidRPr="001228AD">
        <w:rPr>
          <w:vertAlign w:val="subscript"/>
          <w:lang w:val="en-US"/>
        </w:rPr>
        <w:t>6</w:t>
      </w:r>
      <w:r w:rsidRPr="001228AD">
        <w:rPr>
          <w:lang w:val="en-US"/>
        </w:rPr>
        <w:t xml:space="preserve"> Film // Advanced Science. 2018. Vol. 5, № 3. P. 1700759.</w:t>
      </w:r>
    </w:p>
    <w:sectPr w:rsidR="00EF6461" w:rsidRPr="001228AD" w:rsidSect="00B2382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785D2"/>
    <w:multiLevelType w:val="singleLevel"/>
    <w:tmpl w:val="166785D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00E348A"/>
    <w:multiLevelType w:val="hybridMultilevel"/>
    <w:tmpl w:val="8B66624E"/>
    <w:lvl w:ilvl="0" w:tplc="8896644E">
      <w:start w:val="1"/>
      <w:numFmt w:val="decimal"/>
      <w:lvlText w:val="%1."/>
      <w:lvlJc w:val="left"/>
      <w:pPr>
        <w:ind w:left="210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0D1F26"/>
    <w:multiLevelType w:val="hybridMultilevel"/>
    <w:tmpl w:val="670CD4C0"/>
    <w:lvl w:ilvl="0" w:tplc="677ED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244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B80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F4BC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852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0ED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1A6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E24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74B5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295584"/>
    <w:multiLevelType w:val="hybridMultilevel"/>
    <w:tmpl w:val="D5E8B19C"/>
    <w:lvl w:ilvl="0" w:tplc="2A80D3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B4406"/>
    <w:multiLevelType w:val="hybridMultilevel"/>
    <w:tmpl w:val="9B94FA24"/>
    <w:lvl w:ilvl="0" w:tplc="DAA45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C6A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704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F6F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BA8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6E0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ED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E6F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C23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06F4670"/>
    <w:multiLevelType w:val="hybridMultilevel"/>
    <w:tmpl w:val="9AAEAD48"/>
    <w:lvl w:ilvl="0" w:tplc="49F24758">
      <w:start w:val="1"/>
      <w:numFmt w:val="decimal"/>
      <w:lvlText w:val="%1."/>
      <w:lvlJc w:val="center"/>
      <w:pPr>
        <w:tabs>
          <w:tab w:val="num" w:pos="215"/>
        </w:tabs>
        <w:ind w:left="215" w:hanging="21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250396"/>
    <w:multiLevelType w:val="hybridMultilevel"/>
    <w:tmpl w:val="97F03C3A"/>
    <w:lvl w:ilvl="0" w:tplc="266A076A">
      <w:start w:val="1"/>
      <w:numFmt w:val="decimal"/>
      <w:lvlText w:val="%1."/>
      <w:lvlJc w:val="center"/>
      <w:pPr>
        <w:tabs>
          <w:tab w:val="num" w:pos="215"/>
        </w:tabs>
        <w:ind w:left="215" w:hanging="215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24190">
    <w:abstractNumId w:val="1"/>
  </w:num>
  <w:num w:numId="2" w16cid:durableId="890729095">
    <w:abstractNumId w:val="5"/>
  </w:num>
  <w:num w:numId="3" w16cid:durableId="153304515">
    <w:abstractNumId w:val="6"/>
  </w:num>
  <w:num w:numId="4" w16cid:durableId="897015968">
    <w:abstractNumId w:val="3"/>
  </w:num>
  <w:num w:numId="5" w16cid:durableId="464662944">
    <w:abstractNumId w:val="0"/>
  </w:num>
  <w:num w:numId="6" w16cid:durableId="322783967">
    <w:abstractNumId w:val="4"/>
  </w:num>
  <w:num w:numId="7" w16cid:durableId="1726368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C0"/>
    <w:rsid w:val="00092EFB"/>
    <w:rsid w:val="00095864"/>
    <w:rsid w:val="000B0585"/>
    <w:rsid w:val="000E3F4A"/>
    <w:rsid w:val="00106D74"/>
    <w:rsid w:val="00114A5A"/>
    <w:rsid w:val="001228AD"/>
    <w:rsid w:val="00174D43"/>
    <w:rsid w:val="00186FF9"/>
    <w:rsid w:val="00191D7C"/>
    <w:rsid w:val="001A144C"/>
    <w:rsid w:val="001B6B95"/>
    <w:rsid w:val="001D78C1"/>
    <w:rsid w:val="001F7698"/>
    <w:rsid w:val="00202379"/>
    <w:rsid w:val="00224C99"/>
    <w:rsid w:val="002427A6"/>
    <w:rsid w:val="00264F69"/>
    <w:rsid w:val="002767E1"/>
    <w:rsid w:val="002D1E90"/>
    <w:rsid w:val="002E1C97"/>
    <w:rsid w:val="002E5DA3"/>
    <w:rsid w:val="00343449"/>
    <w:rsid w:val="003648F1"/>
    <w:rsid w:val="003821FE"/>
    <w:rsid w:val="00382C96"/>
    <w:rsid w:val="00390E2A"/>
    <w:rsid w:val="003A5668"/>
    <w:rsid w:val="003E046B"/>
    <w:rsid w:val="003F08C8"/>
    <w:rsid w:val="003F2932"/>
    <w:rsid w:val="004065FE"/>
    <w:rsid w:val="004708E4"/>
    <w:rsid w:val="00471FDF"/>
    <w:rsid w:val="00493B86"/>
    <w:rsid w:val="004A5A43"/>
    <w:rsid w:val="004B0D7A"/>
    <w:rsid w:val="00514FD7"/>
    <w:rsid w:val="0055142D"/>
    <w:rsid w:val="00594687"/>
    <w:rsid w:val="005B356F"/>
    <w:rsid w:val="006270BA"/>
    <w:rsid w:val="006315EC"/>
    <w:rsid w:val="00665659"/>
    <w:rsid w:val="006A4DB9"/>
    <w:rsid w:val="006B7E3D"/>
    <w:rsid w:val="007417BC"/>
    <w:rsid w:val="007814F2"/>
    <w:rsid w:val="007A1873"/>
    <w:rsid w:val="007D4A7D"/>
    <w:rsid w:val="00805329"/>
    <w:rsid w:val="008223C0"/>
    <w:rsid w:val="008901CA"/>
    <w:rsid w:val="008975CC"/>
    <w:rsid w:val="008A1629"/>
    <w:rsid w:val="008A41A9"/>
    <w:rsid w:val="00921927"/>
    <w:rsid w:val="00932366"/>
    <w:rsid w:val="00946DA5"/>
    <w:rsid w:val="009743E7"/>
    <w:rsid w:val="009B58B6"/>
    <w:rsid w:val="00A52BA6"/>
    <w:rsid w:val="00A5640F"/>
    <w:rsid w:val="00A777F2"/>
    <w:rsid w:val="00A830BE"/>
    <w:rsid w:val="00A87F83"/>
    <w:rsid w:val="00AE57F1"/>
    <w:rsid w:val="00B14E8E"/>
    <w:rsid w:val="00B23823"/>
    <w:rsid w:val="00B544DE"/>
    <w:rsid w:val="00B54CCD"/>
    <w:rsid w:val="00BC3C51"/>
    <w:rsid w:val="00C24B44"/>
    <w:rsid w:val="00C3198F"/>
    <w:rsid w:val="00C45092"/>
    <w:rsid w:val="00C61C40"/>
    <w:rsid w:val="00C62EFB"/>
    <w:rsid w:val="00C66F09"/>
    <w:rsid w:val="00CA6D08"/>
    <w:rsid w:val="00CB358C"/>
    <w:rsid w:val="00CC17E5"/>
    <w:rsid w:val="00D11BFD"/>
    <w:rsid w:val="00D32F0F"/>
    <w:rsid w:val="00D70C27"/>
    <w:rsid w:val="00D82D83"/>
    <w:rsid w:val="00D85307"/>
    <w:rsid w:val="00DB1888"/>
    <w:rsid w:val="00DC7120"/>
    <w:rsid w:val="00E121B1"/>
    <w:rsid w:val="00E6319B"/>
    <w:rsid w:val="00E75EB9"/>
    <w:rsid w:val="00E93FE9"/>
    <w:rsid w:val="00ED5E54"/>
    <w:rsid w:val="00EF6461"/>
    <w:rsid w:val="00F01FA4"/>
    <w:rsid w:val="00F034F0"/>
    <w:rsid w:val="00F141F2"/>
    <w:rsid w:val="00F15A5F"/>
    <w:rsid w:val="00F3232E"/>
    <w:rsid w:val="00F50952"/>
    <w:rsid w:val="00F652BC"/>
    <w:rsid w:val="00F77BA9"/>
    <w:rsid w:val="00FA654C"/>
    <w:rsid w:val="00FD7C03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AF43D"/>
  <w15:chartTrackingRefBased/>
  <w15:docId w15:val="{4FA6BA19-531E-405D-9989-6F433250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F034F0"/>
    <w:pPr>
      <w:spacing w:before="100" w:after="100"/>
    </w:pPr>
    <w:rPr>
      <w:snapToGrid w:val="0"/>
      <w:sz w:val="24"/>
    </w:rPr>
  </w:style>
  <w:style w:type="paragraph" w:styleId="a3">
    <w:name w:val="List Paragraph"/>
    <w:basedOn w:val="a"/>
    <w:uiPriority w:val="34"/>
    <w:qFormat/>
    <w:rsid w:val="00343449"/>
    <w:pPr>
      <w:ind w:left="720"/>
      <w:contextualSpacing/>
    </w:pPr>
  </w:style>
  <w:style w:type="character" w:styleId="a4">
    <w:name w:val="Hyperlink"/>
    <w:uiPriority w:val="99"/>
    <w:unhideWhenUsed/>
    <w:rsid w:val="002D1E90"/>
    <w:rPr>
      <w:color w:val="0000FF"/>
      <w:u w:val="single"/>
    </w:rPr>
  </w:style>
  <w:style w:type="paragraph" w:customStyle="1" w:styleId="Adress">
    <w:name w:val="Adress"/>
    <w:basedOn w:val="a5"/>
    <w:rsid w:val="00946DA5"/>
    <w:pPr>
      <w:spacing w:before="230" w:line="200" w:lineRule="exact"/>
      <w:ind w:left="425" w:hanging="425"/>
      <w:jc w:val="both"/>
    </w:pPr>
    <w:rPr>
      <w:rFonts w:ascii="Arial" w:eastAsia="MS Mincho" w:hAnsi="Arial"/>
      <w:noProof/>
      <w:color w:val="000000"/>
      <w:sz w:val="16"/>
      <w:lang w:val="de-DE" w:eastAsia="ja-JP"/>
    </w:rPr>
  </w:style>
  <w:style w:type="paragraph" w:customStyle="1" w:styleId="Authors">
    <w:name w:val="Authors"/>
    <w:basedOn w:val="a"/>
    <w:rsid w:val="00946DA5"/>
    <w:pPr>
      <w:spacing w:after="460" w:line="230" w:lineRule="exact"/>
      <w:jc w:val="both"/>
    </w:pPr>
    <w:rPr>
      <w:rFonts w:eastAsia="MS Mincho"/>
      <w:i/>
      <w:noProof/>
      <w:color w:val="000000"/>
      <w:sz w:val="22"/>
      <w:szCs w:val="20"/>
      <w:lang w:val="de-DE" w:eastAsia="ja-JP"/>
    </w:rPr>
  </w:style>
  <w:style w:type="paragraph" w:styleId="a5">
    <w:name w:val="footnote text"/>
    <w:basedOn w:val="a"/>
    <w:link w:val="a6"/>
    <w:rsid w:val="00946DA5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946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7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2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8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104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770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6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754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037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1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539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051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091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2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458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220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77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650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4063">
              <w:marLeft w:val="36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ED211-E04E-4F11-B008-3E4D2B82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оформления тезисов:</vt:lpstr>
    </vt:vector>
  </TitlesOfParts>
  <Company>Company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тезисов:</dc:title>
  <dc:subject/>
  <dc:creator>tatjana</dc:creator>
  <cp:keywords/>
  <cp:lastModifiedBy>Алексей Полевик</cp:lastModifiedBy>
  <cp:revision>13</cp:revision>
  <dcterms:created xsi:type="dcterms:W3CDTF">2024-03-05T10:54:00Z</dcterms:created>
  <dcterms:modified xsi:type="dcterms:W3CDTF">2024-03-15T11:47:00Z</dcterms:modified>
</cp:coreProperties>
</file>