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1B110" w14:textId="1142B092" w:rsidR="00CF6014" w:rsidRPr="00CF6014" w:rsidRDefault="00CF6014" w:rsidP="00CF60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 w:rsidRPr="00544FA4">
        <w:rPr>
          <w:b/>
          <w:color w:val="000000"/>
        </w:rPr>
        <w:t>Пиренаты</w:t>
      </w:r>
      <w:proofErr w:type="spellEnd"/>
      <w:r w:rsidRPr="00544FA4">
        <w:rPr>
          <w:b/>
          <w:color w:val="000000"/>
        </w:rPr>
        <w:t xml:space="preserve"> </w:t>
      </w:r>
      <w:r w:rsidR="00220441" w:rsidRPr="00544FA4">
        <w:rPr>
          <w:b/>
          <w:color w:val="000000"/>
        </w:rPr>
        <w:t>лантанидов</w:t>
      </w:r>
      <w:r w:rsidRPr="00544FA4">
        <w:rPr>
          <w:b/>
          <w:color w:val="000000"/>
        </w:rPr>
        <w:t>:</w:t>
      </w:r>
      <w:r w:rsidR="001F199A" w:rsidRPr="00544FA4">
        <w:rPr>
          <w:b/>
          <w:color w:val="000000"/>
        </w:rPr>
        <w:t xml:space="preserve"> особенности</w:t>
      </w:r>
      <w:r w:rsidRPr="00544FA4">
        <w:rPr>
          <w:b/>
          <w:color w:val="000000"/>
        </w:rPr>
        <w:t xml:space="preserve"> </w:t>
      </w:r>
      <w:r w:rsidR="00996374" w:rsidRPr="00544FA4">
        <w:rPr>
          <w:b/>
          <w:color w:val="000000"/>
        </w:rPr>
        <w:t>достижени</w:t>
      </w:r>
      <w:r w:rsidR="001F199A" w:rsidRPr="00544FA4">
        <w:rPr>
          <w:b/>
          <w:color w:val="000000"/>
        </w:rPr>
        <w:t>я</w:t>
      </w:r>
      <w:r w:rsidR="00220441" w:rsidRPr="00544FA4">
        <w:rPr>
          <w:b/>
          <w:color w:val="000000"/>
        </w:rPr>
        <w:t xml:space="preserve"> высокого квантового выхода в порошке и </w:t>
      </w:r>
      <w:r w:rsidR="0071560C" w:rsidRPr="00544FA4">
        <w:rPr>
          <w:b/>
          <w:color w:val="000000"/>
        </w:rPr>
        <w:t>получени</w:t>
      </w:r>
      <w:r w:rsidR="001F199A" w:rsidRPr="00544FA4">
        <w:rPr>
          <w:b/>
          <w:color w:val="000000"/>
        </w:rPr>
        <w:t>я</w:t>
      </w:r>
      <w:r w:rsidR="0071560C" w:rsidRPr="00544FA4">
        <w:rPr>
          <w:b/>
          <w:color w:val="000000"/>
        </w:rPr>
        <w:t xml:space="preserve"> сенсорных материалов</w:t>
      </w:r>
    </w:p>
    <w:p w14:paraId="00000002" w14:textId="7C723F51" w:rsidR="00130241" w:rsidRPr="00C53769" w:rsidRDefault="00B049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53769">
        <w:rPr>
          <w:b/>
          <w:i/>
          <w:color w:val="000000"/>
        </w:rPr>
        <w:t>Орлова А.В.</w:t>
      </w:r>
    </w:p>
    <w:p w14:paraId="00000003" w14:textId="2F52B05A" w:rsidR="00130241" w:rsidRPr="00544FA4" w:rsidRDefault="00B049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44FA4">
        <w:rPr>
          <w:i/>
          <w:color w:val="000000"/>
        </w:rPr>
        <w:t>Аспирант, 1 год обучения</w:t>
      </w:r>
    </w:p>
    <w:p w14:paraId="00000004" w14:textId="1450AE85" w:rsidR="00130241" w:rsidRPr="00544FA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44FA4">
        <w:rPr>
          <w:i/>
          <w:color w:val="000000"/>
        </w:rPr>
        <w:t>Московский государственный университет имени М.В.</w:t>
      </w:r>
      <w:r w:rsidR="00921D45" w:rsidRPr="00544FA4">
        <w:rPr>
          <w:i/>
          <w:color w:val="000000"/>
        </w:rPr>
        <w:t xml:space="preserve"> </w:t>
      </w:r>
      <w:r w:rsidRPr="00544FA4">
        <w:rPr>
          <w:i/>
          <w:color w:val="000000"/>
        </w:rPr>
        <w:t>Ломоносова, </w:t>
      </w:r>
    </w:p>
    <w:p w14:paraId="00000005" w14:textId="7D472155" w:rsidR="00130241" w:rsidRPr="00544FA4" w:rsidRDefault="00B049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44FA4">
        <w:rPr>
          <w:i/>
          <w:color w:val="000000"/>
        </w:rPr>
        <w:t>ф</w:t>
      </w:r>
      <w:r w:rsidR="00EB1F49" w:rsidRPr="00544FA4">
        <w:rPr>
          <w:i/>
          <w:color w:val="000000"/>
        </w:rPr>
        <w:t>акультет</w:t>
      </w:r>
      <w:r w:rsidRPr="00544FA4">
        <w:rPr>
          <w:i/>
          <w:color w:val="000000"/>
        </w:rPr>
        <w:t xml:space="preserve"> наук о материалах</w:t>
      </w:r>
      <w:r w:rsidR="00EB1F49" w:rsidRPr="00544FA4">
        <w:rPr>
          <w:i/>
          <w:color w:val="000000"/>
        </w:rPr>
        <w:t>, Москва, Россия</w:t>
      </w:r>
    </w:p>
    <w:p w14:paraId="00000008" w14:textId="071F401F" w:rsidR="00130241" w:rsidRPr="00544FA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44FA4">
        <w:rPr>
          <w:i/>
          <w:color w:val="000000"/>
          <w:lang w:val="en-US"/>
        </w:rPr>
        <w:t>E</w:t>
      </w:r>
      <w:r w:rsidR="003B76D6" w:rsidRPr="00544FA4">
        <w:rPr>
          <w:i/>
          <w:color w:val="000000"/>
          <w:lang w:val="en-US"/>
        </w:rPr>
        <w:t>-</w:t>
      </w:r>
      <w:r w:rsidRPr="00544FA4">
        <w:rPr>
          <w:i/>
          <w:color w:val="000000"/>
          <w:lang w:val="en-US"/>
        </w:rPr>
        <w:t xml:space="preserve">mail: </w:t>
      </w:r>
      <w:r w:rsidR="00CF6014" w:rsidRPr="00544FA4">
        <w:rPr>
          <w:i/>
          <w:color w:val="000000"/>
          <w:u w:val="single"/>
          <w:lang w:val="en-US"/>
        </w:rPr>
        <w:t>lea.rosa.17@mail.ru</w:t>
      </w:r>
      <w:r w:rsidRPr="00544FA4">
        <w:rPr>
          <w:i/>
          <w:color w:val="000000"/>
          <w:lang w:val="en-US"/>
        </w:rPr>
        <w:t xml:space="preserve"> </w:t>
      </w:r>
    </w:p>
    <w:p w14:paraId="5ADFB88A" w14:textId="19769029" w:rsidR="00505231" w:rsidRDefault="0041405D" w:rsidP="005052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44FA4">
        <w:rPr>
          <w:color w:val="000000"/>
        </w:rPr>
        <w:t>ИК-люминесцирующие материалы</w:t>
      </w:r>
      <w:r w:rsidR="004842CC">
        <w:rPr>
          <w:color w:val="000000"/>
        </w:rPr>
        <w:t xml:space="preserve"> на основе координационных соединений </w:t>
      </w:r>
      <w:r w:rsidR="0044505F">
        <w:rPr>
          <w:color w:val="000000"/>
        </w:rPr>
        <w:t xml:space="preserve">(КС) </w:t>
      </w:r>
      <w:r w:rsidR="004842CC">
        <w:rPr>
          <w:color w:val="000000"/>
        </w:rPr>
        <w:t>лантанидов</w:t>
      </w:r>
      <w:r w:rsidRPr="00544FA4">
        <w:rPr>
          <w:color w:val="000000"/>
        </w:rPr>
        <w:t>, благодаря попаданию в биологическое и телекоммуникационное</w:t>
      </w:r>
      <w:r w:rsidR="00544FA4">
        <w:rPr>
          <w:color w:val="000000"/>
        </w:rPr>
        <w:t xml:space="preserve"> окна прозрачности,</w:t>
      </w:r>
      <w:r w:rsidR="004842CC">
        <w:rPr>
          <w:color w:val="000000"/>
        </w:rPr>
        <w:t xml:space="preserve"> а также узости эмиссионных полос и длительным временам жизни,</w:t>
      </w:r>
      <w:r w:rsidR="00544FA4">
        <w:rPr>
          <w:color w:val="000000"/>
        </w:rPr>
        <w:t xml:space="preserve"> являются перспективными материалами для получения сенсоров</w:t>
      </w:r>
      <w:r w:rsidR="00006529">
        <w:rPr>
          <w:color w:val="000000"/>
        </w:rPr>
        <w:t xml:space="preserve">, в том числе </w:t>
      </w:r>
      <w:proofErr w:type="spellStart"/>
      <w:r w:rsidR="00544FA4">
        <w:rPr>
          <w:color w:val="000000"/>
        </w:rPr>
        <w:t>биометок</w:t>
      </w:r>
      <w:proofErr w:type="spellEnd"/>
      <w:r w:rsidR="00544FA4">
        <w:rPr>
          <w:color w:val="000000"/>
        </w:rPr>
        <w:t xml:space="preserve"> и люминесцентных термометров. Для получения высокого разрешения сигнала критически важной оказывается высокая интенсивность люминесценции сенсорного материала</w:t>
      </w:r>
      <w:r w:rsidR="004842CC">
        <w:rPr>
          <w:color w:val="000000"/>
        </w:rPr>
        <w:t>.</w:t>
      </w:r>
      <w:r w:rsidR="00006529">
        <w:rPr>
          <w:color w:val="000000"/>
        </w:rPr>
        <w:t xml:space="preserve"> </w:t>
      </w:r>
      <w:r w:rsidR="004842CC">
        <w:rPr>
          <w:color w:val="000000"/>
        </w:rPr>
        <w:t>О</w:t>
      </w:r>
      <w:r w:rsidR="00006529">
        <w:rPr>
          <w:color w:val="000000"/>
        </w:rPr>
        <w:t xml:space="preserve">днако даже </w:t>
      </w:r>
      <w:r w:rsidR="004842CC">
        <w:rPr>
          <w:color w:val="000000"/>
        </w:rPr>
        <w:t xml:space="preserve">при использовании эффективно поглощающего </w:t>
      </w:r>
      <w:proofErr w:type="spellStart"/>
      <w:r w:rsidR="004842CC">
        <w:rPr>
          <w:color w:val="000000"/>
        </w:rPr>
        <w:t>лиганда</w:t>
      </w:r>
      <w:proofErr w:type="spellEnd"/>
      <w:r w:rsidR="004842CC">
        <w:rPr>
          <w:color w:val="000000"/>
        </w:rPr>
        <w:t xml:space="preserve"> в качестве сенсибилизатора, низкое значение квантовых выходов ИК-излучающих </w:t>
      </w:r>
      <w:r w:rsidR="0044505F">
        <w:rPr>
          <w:color w:val="000000"/>
        </w:rPr>
        <w:t>КС</w:t>
      </w:r>
      <w:r w:rsidR="004842CC">
        <w:rPr>
          <w:color w:val="000000"/>
        </w:rPr>
        <w:t xml:space="preserve"> мешает достижению достаточных для практических применений интенсивностей. </w:t>
      </w:r>
    </w:p>
    <w:p w14:paraId="16E0E417" w14:textId="0F260702" w:rsidR="0041405D" w:rsidRPr="0041405D" w:rsidRDefault="0044505F" w:rsidP="005052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Увеличение эффективности ИК-люминесценции возможно при минимизации процессов тушения, подверженность которым и приводит к потерям энергии излучателем. </w:t>
      </w:r>
      <w:r w:rsidR="0041405D" w:rsidRPr="0041405D">
        <w:rPr>
          <w:color w:val="000000"/>
        </w:rPr>
        <w:t xml:space="preserve">Среди основных тушителей люминесценции обычно рассматривают колебательное, концентрационное тушение, а также тушение на дефектах. Однако говоря о </w:t>
      </w:r>
      <w:r>
        <w:rPr>
          <w:color w:val="000000"/>
        </w:rPr>
        <w:t>КС</w:t>
      </w:r>
      <w:r w:rsidR="0041405D" w:rsidRPr="0041405D">
        <w:rPr>
          <w:color w:val="000000"/>
        </w:rPr>
        <w:t xml:space="preserve"> с органическими </w:t>
      </w:r>
      <w:proofErr w:type="spellStart"/>
      <w:r w:rsidR="0041405D" w:rsidRPr="0041405D">
        <w:rPr>
          <w:color w:val="000000"/>
        </w:rPr>
        <w:t>лигандами</w:t>
      </w:r>
      <w:proofErr w:type="spellEnd"/>
      <w:r w:rsidR="0041405D" w:rsidRPr="0041405D">
        <w:rPr>
          <w:color w:val="000000"/>
        </w:rPr>
        <w:t xml:space="preserve">, последний тип тушения рассматривается редко, и считается, что кристалличность и морфология незначительно влияет на люминесценцию в КС. В своих работах мы, однако, заметили, что это не так, и </w:t>
      </w:r>
      <w:r w:rsidR="0041405D" w:rsidRPr="0041405D">
        <w:rPr>
          <w:b/>
          <w:color w:val="000000"/>
        </w:rPr>
        <w:t xml:space="preserve">целью </w:t>
      </w:r>
      <w:r w:rsidR="0041405D" w:rsidRPr="00C95920">
        <w:rPr>
          <w:bCs/>
          <w:color w:val="000000"/>
        </w:rPr>
        <w:t>данного исследования</w:t>
      </w:r>
      <w:r w:rsidR="0041405D" w:rsidRPr="0041405D">
        <w:rPr>
          <w:color w:val="000000"/>
        </w:rPr>
        <w:t xml:space="preserve"> стало выявление влияния морфологии на люминесцентные свойства КС иттербия. </w:t>
      </w:r>
    </w:p>
    <w:p w14:paraId="1ADA4293" w14:textId="32969264" w:rsidR="00CD00B1" w:rsidRPr="0044505F" w:rsidRDefault="0041405D" w:rsidP="004450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hu-HU"/>
        </w:rPr>
      </w:pPr>
      <w:r w:rsidRPr="0041405D">
        <w:rPr>
          <w:color w:val="000000"/>
        </w:rPr>
        <w:t xml:space="preserve">В качестве </w:t>
      </w:r>
      <w:proofErr w:type="spellStart"/>
      <w:r w:rsidRPr="0041405D">
        <w:rPr>
          <w:color w:val="000000"/>
        </w:rPr>
        <w:t>лиганда</w:t>
      </w:r>
      <w:proofErr w:type="spellEnd"/>
      <w:r w:rsidRPr="0041405D">
        <w:rPr>
          <w:color w:val="000000"/>
        </w:rPr>
        <w:t xml:space="preserve"> был выбран </w:t>
      </w:r>
      <w:proofErr w:type="spellStart"/>
      <w:r w:rsidRPr="0041405D">
        <w:rPr>
          <w:color w:val="000000"/>
        </w:rPr>
        <w:t>пиренат</w:t>
      </w:r>
      <w:proofErr w:type="spellEnd"/>
      <w:r w:rsidRPr="0041405D">
        <w:rPr>
          <w:color w:val="000000"/>
        </w:rPr>
        <w:t>-ион</w:t>
      </w:r>
      <w:r w:rsidR="002C2893">
        <w:rPr>
          <w:color w:val="000000"/>
        </w:rPr>
        <w:t xml:space="preserve"> (Рис. 1)</w:t>
      </w:r>
      <w:r w:rsidRPr="0041405D">
        <w:rPr>
          <w:color w:val="000000"/>
        </w:rPr>
        <w:t xml:space="preserve">, обладающий </w:t>
      </w:r>
      <w:r w:rsidRPr="0041405D">
        <w:rPr>
          <w:color w:val="000000"/>
          <w:lang w:val="hu-HU"/>
        </w:rPr>
        <w:t>низкой энергией триплетного состояния (</w:t>
      </w:r>
      <w:r w:rsidRPr="0041405D">
        <w:rPr>
          <w:color w:val="000000"/>
          <w:lang w:val="en-US"/>
        </w:rPr>
        <w:t>T</w:t>
      </w:r>
      <w:r w:rsidRPr="0041405D">
        <w:rPr>
          <w:color w:val="000000"/>
          <w:vertAlign w:val="subscript"/>
          <w:lang w:val="hu-HU"/>
        </w:rPr>
        <w:t>1</w:t>
      </w:r>
      <w:r w:rsidRPr="0041405D">
        <w:rPr>
          <w:color w:val="000000"/>
          <w:lang w:val="hu-HU"/>
        </w:rPr>
        <w:t>=14</w:t>
      </w:r>
      <w:r w:rsidRPr="0041405D">
        <w:rPr>
          <w:color w:val="000000"/>
          <w:lang w:val="en-US"/>
        </w:rPr>
        <w:t> </w:t>
      </w:r>
      <w:r w:rsidRPr="0041405D">
        <w:rPr>
          <w:color w:val="000000"/>
          <w:lang w:val="hu-HU"/>
        </w:rPr>
        <w:t>600 см</w:t>
      </w:r>
      <w:r w:rsidRPr="0041405D">
        <w:rPr>
          <w:color w:val="000000"/>
          <w:vertAlign w:val="superscript"/>
          <w:lang w:val="hu-HU"/>
        </w:rPr>
        <w:t>-1</w:t>
      </w:r>
      <w:r w:rsidRPr="0041405D">
        <w:rPr>
          <w:color w:val="000000"/>
          <w:lang w:val="hu-HU"/>
        </w:rPr>
        <w:t xml:space="preserve">): мы ожидали, что он обеспечит эффективную </w:t>
      </w:r>
      <w:r w:rsidRPr="0041405D">
        <w:rPr>
          <w:color w:val="000000"/>
        </w:rPr>
        <w:t>сенсибилизацию иона</w:t>
      </w:r>
      <w:r w:rsidRPr="0041405D">
        <w:rPr>
          <w:color w:val="000000"/>
          <w:lang w:val="hu-HU"/>
        </w:rPr>
        <w:t xml:space="preserve"> </w:t>
      </w:r>
      <w:r w:rsidRPr="0041405D">
        <w:rPr>
          <w:color w:val="000000"/>
          <w:lang w:val="en-US"/>
        </w:rPr>
        <w:t>Yb</w:t>
      </w:r>
      <w:r w:rsidRPr="0041405D">
        <w:rPr>
          <w:color w:val="000000"/>
          <w:vertAlign w:val="superscript"/>
          <w:lang w:val="hu-HU"/>
        </w:rPr>
        <w:t>3+</w:t>
      </w:r>
      <w:r w:rsidRPr="0041405D">
        <w:rPr>
          <w:color w:val="000000"/>
          <w:lang w:val="hu-HU"/>
        </w:rPr>
        <w:t>, высокое поглощение и минимальное колебательное тушение.</w:t>
      </w:r>
      <w:r w:rsidRPr="0041405D">
        <w:rPr>
          <w:color w:val="000000"/>
        </w:rPr>
        <w:t xml:space="preserve"> Несмотря на это, ко</w:t>
      </w:r>
      <w:r w:rsidRPr="0041405D">
        <w:rPr>
          <w:color w:val="000000"/>
          <w:lang w:val="hu-HU"/>
        </w:rPr>
        <w:t xml:space="preserve">мплекс </w:t>
      </w:r>
      <w:r w:rsidRPr="0041405D">
        <w:rPr>
          <w:color w:val="000000"/>
          <w:lang w:val="en-US"/>
        </w:rPr>
        <w:t>Yb</w:t>
      </w:r>
      <w:r w:rsidRPr="0041405D">
        <w:rPr>
          <w:color w:val="000000"/>
          <w:lang w:val="hu-HU"/>
        </w:rPr>
        <w:t>(</w:t>
      </w:r>
      <w:proofErr w:type="spellStart"/>
      <w:r w:rsidRPr="0041405D">
        <w:rPr>
          <w:color w:val="000000"/>
          <w:lang w:val="en-US"/>
        </w:rPr>
        <w:t>pyr</w:t>
      </w:r>
      <w:proofErr w:type="spellEnd"/>
      <w:r w:rsidRPr="0041405D">
        <w:rPr>
          <w:color w:val="000000"/>
          <w:lang w:val="hu-HU"/>
        </w:rPr>
        <w:t>)</w:t>
      </w:r>
      <w:r w:rsidRPr="0041405D">
        <w:rPr>
          <w:color w:val="000000"/>
          <w:vertAlign w:val="subscript"/>
          <w:lang w:val="hu-HU"/>
        </w:rPr>
        <w:t>3</w:t>
      </w:r>
      <w:r w:rsidRPr="0041405D">
        <w:rPr>
          <w:color w:val="000000"/>
          <w:lang w:val="hu-HU"/>
        </w:rPr>
        <w:t>, полученный при комнатной температуре</w:t>
      </w:r>
      <w:r w:rsidRPr="0041405D">
        <w:rPr>
          <w:color w:val="000000"/>
        </w:rPr>
        <w:t>,</w:t>
      </w:r>
      <w:r w:rsidRPr="0041405D">
        <w:rPr>
          <w:color w:val="000000"/>
          <w:lang w:val="hu-HU"/>
        </w:rPr>
        <w:t xml:space="preserve"> обладал крайне слабой люминесценцией</w:t>
      </w:r>
      <w:r w:rsidRPr="0041405D">
        <w:rPr>
          <w:color w:val="000000"/>
        </w:rPr>
        <w:t xml:space="preserve">. Однако варьирование времени синтеза и доли иона гадолиния в составе комплекса позволили получить образцы с высокой кристалличностью и </w:t>
      </w:r>
      <w:r w:rsidRPr="00C95920">
        <w:rPr>
          <w:color w:val="000000"/>
        </w:rPr>
        <w:t xml:space="preserve">рекордным для координационных соединений </w:t>
      </w:r>
      <w:r w:rsidRPr="00C95920">
        <w:rPr>
          <w:color w:val="000000"/>
          <w:lang w:val="hu-HU"/>
        </w:rPr>
        <w:t xml:space="preserve">иттербия </w:t>
      </w:r>
      <w:r w:rsidRPr="00C95920">
        <w:rPr>
          <w:color w:val="000000"/>
        </w:rPr>
        <w:t>значением квантового выхода</w:t>
      </w:r>
      <w:r w:rsidRPr="00C95920">
        <w:rPr>
          <w:color w:val="000000"/>
          <w:lang w:val="hu-HU"/>
        </w:rPr>
        <w:t xml:space="preserve"> 6%.</w:t>
      </w:r>
    </w:p>
    <w:p w14:paraId="280BA0C2" w14:textId="77777777" w:rsidR="00EC5673" w:rsidRPr="00544FA4" w:rsidRDefault="00EC5673" w:rsidP="00EC5673">
      <w:pPr>
        <w:keepNext/>
        <w:spacing w:before="120"/>
        <w:ind w:firstLine="680"/>
        <w:jc w:val="center"/>
      </w:pPr>
      <w:r w:rsidRPr="00544FA4">
        <w:t>а)</w:t>
      </w:r>
      <w:r w:rsidRPr="00544FA4">
        <w:rPr>
          <w:noProof/>
        </w:rPr>
        <w:t xml:space="preserve"> </w:t>
      </w:r>
      <w:r w:rsidRPr="00544FA4">
        <w:rPr>
          <w:noProof/>
        </w:rPr>
        <w:drawing>
          <wp:inline distT="0" distB="0" distL="0" distR="0" wp14:anchorId="0EBCC53E" wp14:editId="15F66A5E">
            <wp:extent cx="1628250" cy="1818672"/>
            <wp:effectExtent l="0" t="0" r="0" b="0"/>
            <wp:docPr id="4742031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640" cy="1824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4FA4">
        <w:t>б)</w:t>
      </w:r>
      <w:r w:rsidRPr="00544FA4">
        <w:object w:dxaOrig="5276" w:dyaOrig="4276" w14:anchorId="762FEE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8.5pt;height:2in" o:ole="">
            <v:imagedata r:id="rId7" o:title=""/>
          </v:shape>
          <o:OLEObject Type="Embed" ProgID="Origin95.Graph" ShapeID="_x0000_i1025" DrawAspect="Content" ObjectID="_1771155494" r:id="rId8"/>
        </w:object>
      </w:r>
    </w:p>
    <w:p w14:paraId="72E248DA" w14:textId="552A189A" w:rsidR="00EC5673" w:rsidRPr="00544FA4" w:rsidRDefault="00EC5673" w:rsidP="00EC5673">
      <w:pPr>
        <w:pStyle w:val="ab"/>
        <w:jc w:val="center"/>
        <w:rPr>
          <w:i w:val="0"/>
          <w:iCs w:val="0"/>
          <w:color w:val="000000" w:themeColor="text1"/>
          <w:sz w:val="24"/>
          <w:szCs w:val="24"/>
        </w:rPr>
      </w:pPr>
      <w:r w:rsidRPr="00544FA4">
        <w:rPr>
          <w:i w:val="0"/>
          <w:iCs w:val="0"/>
          <w:color w:val="000000" w:themeColor="text1"/>
          <w:sz w:val="24"/>
          <w:szCs w:val="24"/>
        </w:rPr>
        <w:t xml:space="preserve">Рис. </w:t>
      </w:r>
      <w:r w:rsidRPr="00544FA4">
        <w:rPr>
          <w:i w:val="0"/>
          <w:iCs w:val="0"/>
          <w:color w:val="000000" w:themeColor="text1"/>
          <w:sz w:val="24"/>
          <w:szCs w:val="24"/>
        </w:rPr>
        <w:fldChar w:fldCharType="begin"/>
      </w:r>
      <w:r w:rsidRPr="00544FA4">
        <w:rPr>
          <w:i w:val="0"/>
          <w:iCs w:val="0"/>
          <w:color w:val="000000" w:themeColor="text1"/>
          <w:sz w:val="24"/>
          <w:szCs w:val="24"/>
        </w:rPr>
        <w:instrText xml:space="preserve"> SEQ Рис. \* ARABIC </w:instrText>
      </w:r>
      <w:r w:rsidRPr="00544FA4">
        <w:rPr>
          <w:i w:val="0"/>
          <w:iCs w:val="0"/>
          <w:color w:val="000000" w:themeColor="text1"/>
          <w:sz w:val="24"/>
          <w:szCs w:val="24"/>
        </w:rPr>
        <w:fldChar w:fldCharType="separate"/>
      </w:r>
      <w:r w:rsidRPr="00544FA4">
        <w:rPr>
          <w:i w:val="0"/>
          <w:iCs w:val="0"/>
          <w:noProof/>
          <w:color w:val="000000" w:themeColor="text1"/>
          <w:sz w:val="24"/>
          <w:szCs w:val="24"/>
        </w:rPr>
        <w:t>1</w:t>
      </w:r>
      <w:r w:rsidRPr="00544FA4">
        <w:rPr>
          <w:i w:val="0"/>
          <w:iCs w:val="0"/>
          <w:color w:val="000000" w:themeColor="text1"/>
          <w:sz w:val="24"/>
          <w:szCs w:val="24"/>
        </w:rPr>
        <w:fldChar w:fldCharType="end"/>
      </w:r>
      <w:r w:rsidRPr="00544FA4">
        <w:rPr>
          <w:i w:val="0"/>
          <w:iCs w:val="0"/>
          <w:color w:val="000000" w:themeColor="text1"/>
          <w:sz w:val="24"/>
          <w:szCs w:val="24"/>
        </w:rPr>
        <w:t xml:space="preserve">. а) Формула </w:t>
      </w:r>
      <w:proofErr w:type="spellStart"/>
      <w:r w:rsidRPr="00544FA4">
        <w:rPr>
          <w:i w:val="0"/>
          <w:iCs w:val="0"/>
          <w:color w:val="000000" w:themeColor="text1"/>
          <w:sz w:val="24"/>
          <w:szCs w:val="24"/>
        </w:rPr>
        <w:t>пиренат</w:t>
      </w:r>
      <w:proofErr w:type="spellEnd"/>
      <w:r w:rsidRPr="00544FA4">
        <w:rPr>
          <w:i w:val="0"/>
          <w:iCs w:val="0"/>
          <w:color w:val="000000" w:themeColor="text1"/>
          <w:sz w:val="24"/>
          <w:szCs w:val="24"/>
        </w:rPr>
        <w:t>-аниона (</w:t>
      </w:r>
      <w:proofErr w:type="spellStart"/>
      <w:r w:rsidRPr="00544FA4">
        <w:rPr>
          <w:i w:val="0"/>
          <w:iCs w:val="0"/>
          <w:color w:val="000000" w:themeColor="text1"/>
          <w:sz w:val="24"/>
          <w:szCs w:val="24"/>
          <w:lang w:val="en-US"/>
        </w:rPr>
        <w:t>pyr</w:t>
      </w:r>
      <w:proofErr w:type="spellEnd"/>
      <w:r w:rsidRPr="00544FA4">
        <w:rPr>
          <w:i w:val="0"/>
          <w:iCs w:val="0"/>
          <w:color w:val="000000" w:themeColor="text1"/>
          <w:sz w:val="24"/>
          <w:szCs w:val="24"/>
          <w:vertAlign w:val="superscript"/>
        </w:rPr>
        <w:t>-</w:t>
      </w:r>
      <w:r w:rsidRPr="00544FA4">
        <w:rPr>
          <w:i w:val="0"/>
          <w:iCs w:val="0"/>
          <w:color w:val="000000" w:themeColor="text1"/>
          <w:sz w:val="24"/>
          <w:szCs w:val="24"/>
        </w:rPr>
        <w:t xml:space="preserve">) б) </w:t>
      </w:r>
      <w:r w:rsidR="009A50A9" w:rsidRPr="00544FA4">
        <w:rPr>
          <w:i w:val="0"/>
          <w:iCs w:val="0"/>
          <w:color w:val="000000" w:themeColor="text1"/>
          <w:sz w:val="24"/>
          <w:szCs w:val="24"/>
        </w:rPr>
        <w:t xml:space="preserve">Изменение спектра люминесценции </w:t>
      </w:r>
      <w:r w:rsidR="009A50A9" w:rsidRPr="00544FA4">
        <w:rPr>
          <w:i w:val="0"/>
          <w:iCs w:val="0"/>
          <w:color w:val="000000" w:themeColor="text1"/>
          <w:sz w:val="24"/>
          <w:szCs w:val="24"/>
          <w:lang w:val="en-US"/>
        </w:rPr>
        <w:t>Yb</w:t>
      </w:r>
      <w:r w:rsidR="009A50A9" w:rsidRPr="00544FA4">
        <w:rPr>
          <w:i w:val="0"/>
          <w:iCs w:val="0"/>
          <w:color w:val="000000" w:themeColor="text1"/>
          <w:sz w:val="24"/>
          <w:szCs w:val="24"/>
          <w:vertAlign w:val="subscript"/>
        </w:rPr>
        <w:t>0.005</w:t>
      </w:r>
      <w:r w:rsidR="009A50A9" w:rsidRPr="00544FA4">
        <w:rPr>
          <w:i w:val="0"/>
          <w:iCs w:val="0"/>
          <w:color w:val="000000" w:themeColor="text1"/>
          <w:sz w:val="24"/>
          <w:szCs w:val="24"/>
          <w:lang w:val="en-US"/>
        </w:rPr>
        <w:t>Nd</w:t>
      </w:r>
      <w:r w:rsidR="009A50A9" w:rsidRPr="00544FA4">
        <w:rPr>
          <w:i w:val="0"/>
          <w:iCs w:val="0"/>
          <w:color w:val="000000" w:themeColor="text1"/>
          <w:sz w:val="24"/>
          <w:szCs w:val="24"/>
          <w:vertAlign w:val="subscript"/>
        </w:rPr>
        <w:t>0.995</w:t>
      </w:r>
      <w:r w:rsidR="009A50A9" w:rsidRPr="00544FA4">
        <w:rPr>
          <w:i w:val="0"/>
          <w:iCs w:val="0"/>
          <w:color w:val="000000" w:themeColor="text1"/>
          <w:sz w:val="24"/>
          <w:szCs w:val="24"/>
        </w:rPr>
        <w:t>(</w:t>
      </w:r>
      <w:proofErr w:type="spellStart"/>
      <w:r w:rsidR="009A50A9" w:rsidRPr="00544FA4">
        <w:rPr>
          <w:i w:val="0"/>
          <w:iCs w:val="0"/>
          <w:color w:val="000000" w:themeColor="text1"/>
          <w:sz w:val="24"/>
          <w:szCs w:val="24"/>
          <w:lang w:val="en-US"/>
        </w:rPr>
        <w:t>pyr</w:t>
      </w:r>
      <w:proofErr w:type="spellEnd"/>
      <w:r w:rsidR="009A50A9" w:rsidRPr="00544FA4">
        <w:rPr>
          <w:i w:val="0"/>
          <w:iCs w:val="0"/>
          <w:color w:val="000000" w:themeColor="text1"/>
          <w:sz w:val="24"/>
          <w:szCs w:val="24"/>
        </w:rPr>
        <w:t>)</w:t>
      </w:r>
      <w:r w:rsidR="009A50A9" w:rsidRPr="00544FA4">
        <w:rPr>
          <w:i w:val="0"/>
          <w:iCs w:val="0"/>
          <w:color w:val="000000" w:themeColor="text1"/>
          <w:sz w:val="24"/>
          <w:szCs w:val="24"/>
          <w:vertAlign w:val="subscript"/>
        </w:rPr>
        <w:t>3</w:t>
      </w:r>
      <w:r w:rsidR="009A50A9" w:rsidRPr="00544FA4">
        <w:rPr>
          <w:i w:val="0"/>
          <w:iCs w:val="0"/>
          <w:color w:val="000000" w:themeColor="text1"/>
          <w:sz w:val="24"/>
          <w:szCs w:val="24"/>
        </w:rPr>
        <w:t xml:space="preserve"> при нагреве от 30°С до 200°С</w:t>
      </w:r>
    </w:p>
    <w:p w14:paraId="7CBDF586" w14:textId="77777777" w:rsidR="0041405D" w:rsidRPr="0041405D" w:rsidRDefault="0041405D" w:rsidP="004140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hu-HU"/>
        </w:rPr>
      </w:pPr>
      <w:r w:rsidRPr="0041405D">
        <w:rPr>
          <w:color w:val="000000"/>
        </w:rPr>
        <w:t xml:space="preserve">Благодаря полученным данным о зависимости морфологии порошка и, как следствие, интенсивности его люминесценции, от условий синтеза и состава образца, удалось получить так же соединения с люминесценцией двух ионов: иттербия и неодима. Их высокая термическая стабильность позволила получить люминесцентные </w:t>
      </w:r>
      <w:r w:rsidRPr="00663DD0">
        <w:rPr>
          <w:color w:val="000000"/>
        </w:rPr>
        <w:t xml:space="preserve">термометры с рабочим диапазоном </w:t>
      </w:r>
      <w:r w:rsidRPr="00663DD0">
        <w:rPr>
          <w:color w:val="000000"/>
          <w:lang w:val="hu-HU"/>
        </w:rPr>
        <w:t xml:space="preserve">35-250 °С </w:t>
      </w:r>
      <w:r w:rsidRPr="00663DD0">
        <w:rPr>
          <w:color w:val="000000"/>
        </w:rPr>
        <w:t xml:space="preserve">для 10 циклов измерений </w:t>
      </w:r>
      <w:r w:rsidRPr="00663DD0">
        <w:rPr>
          <w:color w:val="000000"/>
          <w:lang w:val="hu-HU"/>
        </w:rPr>
        <w:t>(</w:t>
      </w:r>
      <w:r w:rsidRPr="00663DD0">
        <w:rPr>
          <w:color w:val="000000"/>
          <w:lang w:val="hu-HU"/>
        </w:rPr>
        <w:fldChar w:fldCharType="begin"/>
      </w:r>
      <w:r w:rsidRPr="00663DD0">
        <w:rPr>
          <w:color w:val="000000"/>
          <w:lang w:val="hu-HU"/>
        </w:rPr>
        <w:instrText xml:space="preserve"> REF _Ref156230269 \h  \* MERGEFORMAT </w:instrText>
      </w:r>
      <w:r w:rsidRPr="00663DD0">
        <w:rPr>
          <w:color w:val="000000"/>
          <w:lang w:val="hu-HU"/>
        </w:rPr>
      </w:r>
      <w:r w:rsidRPr="00663DD0">
        <w:rPr>
          <w:color w:val="000000"/>
          <w:lang w:val="hu-HU"/>
        </w:rPr>
        <w:fldChar w:fldCharType="separate"/>
      </w:r>
      <w:r w:rsidRPr="00663DD0">
        <w:rPr>
          <w:color w:val="000000"/>
          <w:lang w:val="hu-HU"/>
        </w:rPr>
        <w:t xml:space="preserve">Рис. </w:t>
      </w:r>
      <w:r w:rsidRPr="00663DD0">
        <w:rPr>
          <w:color w:val="000000"/>
        </w:rPr>
        <w:fldChar w:fldCharType="end"/>
      </w:r>
      <w:r w:rsidRPr="00663DD0">
        <w:rPr>
          <w:color w:val="000000"/>
        </w:rPr>
        <w:t>1</w:t>
      </w:r>
      <w:r w:rsidRPr="00663DD0">
        <w:rPr>
          <w:color w:val="000000"/>
          <w:lang w:val="hu-HU"/>
        </w:rPr>
        <w:t>)</w:t>
      </w:r>
      <w:r w:rsidRPr="00663DD0">
        <w:rPr>
          <w:color w:val="000000"/>
        </w:rPr>
        <w:t xml:space="preserve"> и чувствительностью до 3%</w:t>
      </w:r>
      <w:r w:rsidRPr="00663DD0">
        <w:rPr>
          <w:color w:val="000000"/>
          <w:lang w:val="en-US"/>
        </w:rPr>
        <w:t>K</w:t>
      </w:r>
      <w:r w:rsidRPr="00663DD0">
        <w:rPr>
          <w:color w:val="000000"/>
          <w:vertAlign w:val="superscript"/>
        </w:rPr>
        <w:t>-1</w:t>
      </w:r>
      <w:r w:rsidRPr="00663DD0">
        <w:rPr>
          <w:color w:val="000000"/>
          <w:lang w:val="hu-HU"/>
        </w:rPr>
        <w:t>.</w:t>
      </w:r>
    </w:p>
    <w:p w14:paraId="03223DC9" w14:textId="40E78B5A" w:rsidR="007C36D8" w:rsidRPr="0044505F" w:rsidRDefault="0041405D" w:rsidP="004450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41405D">
        <w:rPr>
          <w:i/>
          <w:color w:val="000000"/>
        </w:rPr>
        <w:t xml:space="preserve">Работа выполнена при поддержке РНФ (проект № </w:t>
      </w:r>
      <w:r w:rsidRPr="0041405D">
        <w:rPr>
          <w:i/>
          <w:color w:val="000000"/>
          <w:lang w:val="hu-HU"/>
        </w:rPr>
        <w:t>20-73-10053</w:t>
      </w:r>
      <w:r w:rsidRPr="0041405D">
        <w:rPr>
          <w:i/>
          <w:color w:val="000000"/>
        </w:rPr>
        <w:t>).</w:t>
      </w:r>
    </w:p>
    <w:sectPr w:rsidR="007C36D8" w:rsidRPr="0044505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6529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1F199A"/>
    <w:rsid w:val="00220441"/>
    <w:rsid w:val="002264EE"/>
    <w:rsid w:val="0023307C"/>
    <w:rsid w:val="002C2893"/>
    <w:rsid w:val="0031361E"/>
    <w:rsid w:val="00391C38"/>
    <w:rsid w:val="003B76D6"/>
    <w:rsid w:val="0041405D"/>
    <w:rsid w:val="0044505F"/>
    <w:rsid w:val="004842CC"/>
    <w:rsid w:val="004A26A3"/>
    <w:rsid w:val="004F0EDF"/>
    <w:rsid w:val="00505231"/>
    <w:rsid w:val="00522BF1"/>
    <w:rsid w:val="00544FA4"/>
    <w:rsid w:val="00590166"/>
    <w:rsid w:val="005D022B"/>
    <w:rsid w:val="005E5BE9"/>
    <w:rsid w:val="00663DD0"/>
    <w:rsid w:val="0069427D"/>
    <w:rsid w:val="006F7A19"/>
    <w:rsid w:val="0071560C"/>
    <w:rsid w:val="007213E1"/>
    <w:rsid w:val="00775389"/>
    <w:rsid w:val="00797838"/>
    <w:rsid w:val="007C36D8"/>
    <w:rsid w:val="007F2744"/>
    <w:rsid w:val="008931BE"/>
    <w:rsid w:val="008C67E3"/>
    <w:rsid w:val="00921D45"/>
    <w:rsid w:val="00982A82"/>
    <w:rsid w:val="00996374"/>
    <w:rsid w:val="009A50A9"/>
    <w:rsid w:val="009A66DB"/>
    <w:rsid w:val="009B2F80"/>
    <w:rsid w:val="009B3300"/>
    <w:rsid w:val="009F3380"/>
    <w:rsid w:val="00A02163"/>
    <w:rsid w:val="00A314FE"/>
    <w:rsid w:val="00B049DC"/>
    <w:rsid w:val="00BF36F8"/>
    <w:rsid w:val="00BF4622"/>
    <w:rsid w:val="00C53769"/>
    <w:rsid w:val="00C95920"/>
    <w:rsid w:val="00CD00B1"/>
    <w:rsid w:val="00CF6014"/>
    <w:rsid w:val="00D22306"/>
    <w:rsid w:val="00D42542"/>
    <w:rsid w:val="00D8121C"/>
    <w:rsid w:val="00DC5981"/>
    <w:rsid w:val="00E22189"/>
    <w:rsid w:val="00E74069"/>
    <w:rsid w:val="00EB1F49"/>
    <w:rsid w:val="00EC5673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caption"/>
    <w:basedOn w:val="a"/>
    <w:next w:val="a"/>
    <w:uiPriority w:val="35"/>
    <w:unhideWhenUsed/>
    <w:qFormat/>
    <w:rsid w:val="00EC5673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Асенька</dc:creator>
  <cp:lastModifiedBy>Алексей Полевик</cp:lastModifiedBy>
  <cp:revision>2</cp:revision>
  <dcterms:created xsi:type="dcterms:W3CDTF">2024-03-05T11:51:00Z</dcterms:created>
  <dcterms:modified xsi:type="dcterms:W3CDTF">2024-03-05T11:51:00Z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