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2498" w14:textId="77777777" w:rsidR="009E6177" w:rsidRDefault="00000000">
      <w:pPr>
        <w:shd w:val="clear" w:color="auto" w:fill="FFFFFF"/>
        <w:ind w:firstLine="166"/>
        <w:jc w:val="center"/>
      </w:pPr>
      <w:r>
        <w:rPr>
          <w:b/>
          <w:color w:val="000000"/>
        </w:rPr>
        <w:t xml:space="preserve">Синтез, структура и термическое поведение </w:t>
      </w:r>
      <w:proofErr w:type="gramStart"/>
      <w:r>
        <w:rPr>
          <w:b/>
          <w:color w:val="000000"/>
        </w:rPr>
        <w:t>металл-органических</w:t>
      </w:r>
      <w:proofErr w:type="gramEnd"/>
      <w:r>
        <w:rPr>
          <w:b/>
          <w:color w:val="000000"/>
        </w:rPr>
        <w:t xml:space="preserve"> каркасов на основе </w:t>
      </w:r>
      <w:proofErr w:type="spellStart"/>
      <w:r>
        <w:rPr>
          <w:b/>
          <w:color w:val="000000"/>
        </w:rPr>
        <w:t>терефталатов</w:t>
      </w:r>
      <w:proofErr w:type="spellEnd"/>
      <w:r>
        <w:rPr>
          <w:b/>
          <w:color w:val="000000"/>
        </w:rPr>
        <w:t xml:space="preserve"> лантанидов</w:t>
      </w:r>
    </w:p>
    <w:p w14:paraId="3468B91B" w14:textId="77777777" w:rsidR="009E6177" w:rsidRDefault="00000000">
      <w:pPr>
        <w:shd w:val="clear" w:color="auto" w:fill="FFFFFF"/>
        <w:ind w:firstLine="166"/>
        <w:jc w:val="center"/>
        <w:rPr>
          <w:color w:val="000000"/>
        </w:rPr>
      </w:pPr>
      <w:r>
        <w:rPr>
          <w:b/>
          <w:i/>
          <w:color w:val="000000"/>
        </w:rPr>
        <w:t xml:space="preserve">Воропаева А.С., </w:t>
      </w:r>
      <w:proofErr w:type="spellStart"/>
      <w:r>
        <w:rPr>
          <w:b/>
          <w:i/>
          <w:color w:val="000000"/>
        </w:rPr>
        <w:t>Шаульская</w:t>
      </w:r>
      <w:proofErr w:type="spellEnd"/>
      <w:r>
        <w:rPr>
          <w:b/>
          <w:i/>
          <w:color w:val="000000"/>
        </w:rPr>
        <w:t xml:space="preserve"> М.Д.</w:t>
      </w:r>
    </w:p>
    <w:p w14:paraId="30920B24" w14:textId="77777777" w:rsidR="009E6177" w:rsidRDefault="00000000">
      <w:pPr>
        <w:shd w:val="clear" w:color="auto" w:fill="FFFFFF"/>
        <w:ind w:firstLine="165"/>
        <w:jc w:val="center"/>
        <w:rPr>
          <w:color w:val="000000"/>
        </w:rPr>
      </w:pPr>
      <w:r>
        <w:rPr>
          <w:i/>
          <w:color w:val="000000"/>
        </w:rPr>
        <w:t>Студентка, 1 курс специалитета</w:t>
      </w:r>
    </w:p>
    <w:p w14:paraId="6DC21EBF" w14:textId="77777777" w:rsidR="009E6177" w:rsidRDefault="00000000">
      <w:pPr>
        <w:shd w:val="clear" w:color="auto" w:fill="FFFFFF"/>
        <w:ind w:firstLine="165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4B2267D8" w14:textId="77777777" w:rsidR="009E6177" w:rsidRDefault="00000000">
      <w:pPr>
        <w:shd w:val="clear" w:color="auto" w:fill="FFFFFF"/>
        <w:ind w:firstLine="165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1F69706" w14:textId="77777777" w:rsidR="009E6177" w:rsidRDefault="00000000">
      <w:pPr>
        <w:numPr>
          <w:ilvl w:val="0"/>
          <w:numId w:val="1"/>
        </w:numPr>
        <w:shd w:val="clear" w:color="auto" w:fill="FFFFFF"/>
        <w:ind w:firstLine="165"/>
        <w:jc w:val="center"/>
        <w:rPr>
          <w:i/>
          <w:color w:val="000000"/>
          <w:lang w:val="en-US"/>
        </w:rPr>
      </w:pP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hyperlink r:id="rId7">
        <w:r w:rsidRPr="00CE3394">
          <w:rPr>
            <w:i/>
            <w:color w:val="000000"/>
            <w:u w:val="single"/>
            <w:lang w:val="en-US"/>
          </w:rPr>
          <w:t>voropaeva.lika@bk.ru</w:t>
        </w:r>
      </w:hyperlink>
    </w:p>
    <w:p w14:paraId="6C0C7494" w14:textId="77777777" w:rsidR="009E6177" w:rsidRDefault="00000000" w:rsidP="00CE3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397"/>
        <w:jc w:val="both"/>
      </w:pPr>
      <w:r>
        <w:t>Металл-органические каркасы (</w:t>
      </w:r>
      <w:r>
        <w:rPr>
          <w:lang w:val="en-US"/>
        </w:rPr>
        <w:t>Metal</w:t>
      </w:r>
      <w:r>
        <w:t>-</w:t>
      </w:r>
      <w:r>
        <w:rPr>
          <w:lang w:val="en-US"/>
        </w:rPr>
        <w:t>Organic</w:t>
      </w:r>
      <w:r>
        <w:t xml:space="preserve"> </w:t>
      </w:r>
      <w:r>
        <w:rPr>
          <w:lang w:val="en-US"/>
        </w:rPr>
        <w:t>Frameworks</w:t>
      </w:r>
      <w:r>
        <w:t xml:space="preserve">, </w:t>
      </w:r>
      <w:r>
        <w:rPr>
          <w:lang w:val="en-US"/>
        </w:rPr>
        <w:t>MOF</w:t>
      </w:r>
      <w:r>
        <w:t xml:space="preserve">’ы) впервые были получены в конце 20 века, и на данный момент занимают своё уникальное место в современном материаловедении. </w:t>
      </w:r>
      <w:r>
        <w:rPr>
          <w:lang w:val="en-US"/>
        </w:rPr>
        <w:t>MOF</w:t>
      </w:r>
      <w:r>
        <w:t xml:space="preserve">’ы представляют собой пористые материалы, состоящие из ионов или кластеров металлов, связанных между собой органическими молекулами - линкерами. </w:t>
      </w:r>
      <w:r>
        <w:rPr>
          <w:lang w:val="en-US"/>
        </w:rPr>
        <w:t>MOF</w:t>
      </w:r>
      <w:r>
        <w:t xml:space="preserve">’ы используются в </w:t>
      </w:r>
      <w:r w:rsidRPr="00CE3394">
        <w:rPr>
          <w:color w:val="000000"/>
        </w:rPr>
        <w:t>качестве</w:t>
      </w:r>
      <w:r>
        <w:t xml:space="preserve"> катализаторов, как материалы для хранения и разделения газов, доставки лекарств, обнаружения ионов и крупных молекул и т.д. Соответственно, одна из наиболее важных для прикладных задач характеристик </w:t>
      </w:r>
      <w:r>
        <w:rPr>
          <w:lang w:val="en-US"/>
        </w:rPr>
        <w:t>MOF</w:t>
      </w:r>
      <w:r>
        <w:t>’ы – пористость.</w:t>
      </w:r>
    </w:p>
    <w:p w14:paraId="34E142D6" w14:textId="77777777" w:rsidR="009E6177" w:rsidRDefault="00000000" w:rsidP="00CE3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397"/>
        <w:jc w:val="both"/>
        <w:rPr>
          <w:rFonts w:eastAsia="SimSun"/>
        </w:rPr>
      </w:pPr>
      <w:r>
        <w:t xml:space="preserve">Однако, обычно большие пустоты в структуре </w:t>
      </w:r>
      <w:r>
        <w:rPr>
          <w:lang w:val="en-US"/>
        </w:rPr>
        <w:t>MOF</w:t>
      </w:r>
      <w:r>
        <w:t xml:space="preserve">’ы заняты так называемыми молекулами-гостями. Особый интерес представляет изучение взаимодействия хозяин-гость в </w:t>
      </w:r>
      <w:r>
        <w:rPr>
          <w:lang w:val="en-US"/>
        </w:rPr>
        <w:t>MOF</w:t>
      </w:r>
      <w:r>
        <w:t xml:space="preserve">’ы, а также влияние молекул-гостей на структуру каркаса. В настоящей работе проведен синтез и исследовано термическое поведение двух новых различных каркасов на основе </w:t>
      </w:r>
      <w:proofErr w:type="spellStart"/>
      <w:r>
        <w:t>терефталата</w:t>
      </w:r>
      <w:proofErr w:type="spellEnd"/>
      <w:r>
        <w:t xml:space="preserve"> диспрозия - анионный [(</w:t>
      </w:r>
      <w:r>
        <w:rPr>
          <w:lang w:val="en-US"/>
        </w:rPr>
        <w:t>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rPr>
          <w:lang w:val="en-US"/>
        </w:rPr>
        <w:t>NH</w:t>
      </w:r>
      <w:proofErr w:type="gramStart"/>
      <w:r>
        <w:rPr>
          <w:vertAlign w:val="subscript"/>
        </w:rPr>
        <w:t>2</w:t>
      </w:r>
      <w:r>
        <w:t>][</w:t>
      </w:r>
      <w:proofErr w:type="gramEnd"/>
      <w:r>
        <w:rPr>
          <w:lang w:val="en-US"/>
        </w:rPr>
        <w:t>Dy</w:t>
      </w:r>
      <w:r>
        <w:t>(</w:t>
      </w:r>
      <w:r>
        <w:rPr>
          <w:lang w:val="en-US"/>
        </w:rPr>
        <w:t>BDC</w:t>
      </w:r>
      <w:r>
        <w:t>)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DMF</w:t>
      </w:r>
      <w:r>
        <w:t>)](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) и нейтральный [</w:t>
      </w:r>
      <w:r>
        <w:rPr>
          <w:lang w:val="en-US"/>
        </w:rPr>
        <w:t>Dy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>(</w:t>
      </w:r>
      <w:r>
        <w:rPr>
          <w:lang w:val="en-US"/>
        </w:rPr>
        <w:t>BDC</w:t>
      </w:r>
      <w:r>
        <w:rPr>
          <w:rFonts w:eastAsia="SimSun"/>
        </w:rPr>
        <w:t>)</w:t>
      </w:r>
      <w:r>
        <w:rPr>
          <w:rFonts w:eastAsia="SimSun"/>
          <w:vertAlign w:val="subscript"/>
        </w:rPr>
        <w:t>3</w:t>
      </w:r>
      <w:r>
        <w:rPr>
          <w:rFonts w:eastAsia="SimSun"/>
        </w:rPr>
        <w:t>(DM</w:t>
      </w:r>
      <w:r>
        <w:rPr>
          <w:rFonts w:eastAsia="SimSun"/>
          <w:lang w:val="en-US"/>
        </w:rPr>
        <w:t>A</w:t>
      </w:r>
      <w:r>
        <w:rPr>
          <w:rFonts w:eastAsia="SimSun"/>
        </w:rPr>
        <w:t>)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 xml:space="preserve">], где </w:t>
      </w:r>
      <w:r>
        <w:rPr>
          <w:lang w:val="en-US"/>
        </w:rPr>
        <w:t>BDC</w:t>
      </w:r>
      <w:r>
        <w:t xml:space="preserve"> - </w:t>
      </w:r>
      <w:proofErr w:type="spellStart"/>
      <w:r>
        <w:t>терефталат</w:t>
      </w:r>
      <w:proofErr w:type="spellEnd"/>
      <w:r>
        <w:t xml:space="preserve">-анион, </w:t>
      </w:r>
      <w:r>
        <w:rPr>
          <w:lang w:val="en-US"/>
        </w:rPr>
        <w:t>DMF</w:t>
      </w:r>
      <w:r>
        <w:t xml:space="preserve"> – диметилформамид, </w:t>
      </w:r>
      <w:r>
        <w:rPr>
          <w:lang w:val="en-US"/>
        </w:rPr>
        <w:t>DMA</w:t>
      </w:r>
      <w:r>
        <w:t xml:space="preserve"> - </w:t>
      </w:r>
      <w:proofErr w:type="spellStart"/>
      <w:r>
        <w:t>диметилацетамид</w:t>
      </w:r>
      <w:proofErr w:type="spellEnd"/>
      <w:r>
        <w:rPr>
          <w:rFonts w:eastAsia="SimSun"/>
        </w:rPr>
        <w:t xml:space="preserve">. Совокупностью методов ТГА и </w:t>
      </w:r>
      <w:r>
        <w:rPr>
          <w:rFonts w:eastAsia="SimSun"/>
          <w:i/>
          <w:lang w:val="en-US"/>
        </w:rPr>
        <w:t>in</w:t>
      </w:r>
      <w:r>
        <w:rPr>
          <w:rFonts w:eastAsia="SimSun"/>
          <w:i/>
        </w:rPr>
        <w:t xml:space="preserve"> </w:t>
      </w:r>
      <w:r>
        <w:rPr>
          <w:rFonts w:eastAsia="SimSun"/>
          <w:i/>
          <w:lang w:val="en-US"/>
        </w:rPr>
        <w:t>situ</w:t>
      </w:r>
      <w:r>
        <w:rPr>
          <w:rFonts w:eastAsia="SimSun"/>
        </w:rPr>
        <w:t xml:space="preserve"> эксперимента по </w:t>
      </w:r>
      <w:proofErr w:type="spellStart"/>
      <w:r>
        <w:rPr>
          <w:rFonts w:eastAsia="SimSun"/>
        </w:rPr>
        <w:t>политермической</w:t>
      </w:r>
      <w:proofErr w:type="spellEnd"/>
      <w:r>
        <w:rPr>
          <w:rFonts w:eastAsia="SimSun"/>
        </w:rPr>
        <w:t xml:space="preserve"> рентгеновской дифракции подробно изучены структурные превращения, происходящие при термической активации каркасов (освобождению пор от молекул-гостей).</w:t>
      </w:r>
    </w:p>
    <w:p w14:paraId="342CEAFA" w14:textId="10494817" w:rsidR="009E6177" w:rsidRPr="00CE3394" w:rsidRDefault="00000000" w:rsidP="00CE3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397"/>
        <w:jc w:val="both"/>
        <w:rPr>
          <w:rFonts w:eastAsia="SimSun"/>
        </w:rPr>
      </w:pPr>
      <w:r>
        <w:rPr>
          <w:rFonts w:eastAsia="SimSun"/>
        </w:rPr>
        <w:t>Кроме того, получены смешанно-</w:t>
      </w:r>
      <w:proofErr w:type="spellStart"/>
      <w:r>
        <w:rPr>
          <w:rFonts w:eastAsia="SimSun"/>
        </w:rPr>
        <w:t>лантанидные</w:t>
      </w:r>
      <w:proofErr w:type="spellEnd"/>
      <w:r>
        <w:rPr>
          <w:rFonts w:eastAsia="SimSun"/>
        </w:rPr>
        <w:t xml:space="preserve"> каркасы изоструктурные нейтральному </w:t>
      </w:r>
      <w:r w:rsidRPr="00CE3394">
        <w:rPr>
          <w:rFonts w:eastAsia="SimSun"/>
        </w:rPr>
        <w:t>[</w:t>
      </w:r>
      <w:r>
        <w:rPr>
          <w:rFonts w:eastAsia="SimSun"/>
          <w:lang w:val="en-US"/>
        </w:rPr>
        <w:t>Dy</w:t>
      </w:r>
      <w:r w:rsidRPr="00CE3394">
        <w:rPr>
          <w:rFonts w:eastAsia="SimSun"/>
          <w:vertAlign w:val="subscript"/>
        </w:rPr>
        <w:t>2</w:t>
      </w:r>
      <w:r w:rsidRPr="00CE3394">
        <w:rPr>
          <w:rFonts w:eastAsia="SimSun"/>
        </w:rPr>
        <w:t>(</w:t>
      </w:r>
      <w:r>
        <w:rPr>
          <w:rFonts w:eastAsia="SimSun"/>
          <w:lang w:val="en-US"/>
        </w:rPr>
        <w:t>BDC</w:t>
      </w:r>
      <w:r w:rsidRPr="00CE3394">
        <w:rPr>
          <w:rFonts w:eastAsia="SimSun"/>
        </w:rPr>
        <w:t>)</w:t>
      </w:r>
      <w:r w:rsidRPr="00CE3394">
        <w:rPr>
          <w:rFonts w:eastAsia="SimSun"/>
          <w:vertAlign w:val="subscript"/>
        </w:rPr>
        <w:t>3</w:t>
      </w:r>
      <w:r w:rsidRPr="00CE3394">
        <w:rPr>
          <w:rFonts w:eastAsia="SimSun"/>
        </w:rPr>
        <w:t>(</w:t>
      </w:r>
      <w:r>
        <w:rPr>
          <w:rFonts w:eastAsia="SimSun"/>
          <w:lang w:val="en-US"/>
        </w:rPr>
        <w:t>DMA</w:t>
      </w:r>
      <w:r w:rsidRPr="00CE3394">
        <w:rPr>
          <w:rFonts w:eastAsia="SimSun"/>
        </w:rPr>
        <w:t>)</w:t>
      </w:r>
      <w:r w:rsidRPr="00CE3394">
        <w:rPr>
          <w:rFonts w:eastAsia="SimSun"/>
          <w:vertAlign w:val="subscript"/>
        </w:rPr>
        <w:t>2</w:t>
      </w:r>
      <w:r w:rsidRPr="00CE3394">
        <w:rPr>
          <w:rFonts w:eastAsia="SimSun"/>
        </w:rPr>
        <w:t>]</w:t>
      </w:r>
      <w:r>
        <w:rPr>
          <w:rFonts w:eastAsia="SimSun"/>
        </w:rPr>
        <w:t xml:space="preserve"> составов </w:t>
      </w:r>
      <w:r>
        <w:t>(</w:t>
      </w:r>
      <w:r>
        <w:rPr>
          <w:lang w:val="en-US"/>
        </w:rPr>
        <w:t>Eu</w:t>
      </w:r>
      <w:r>
        <w:rPr>
          <w:vertAlign w:val="subscript"/>
        </w:rPr>
        <w:t>x</w:t>
      </w:r>
      <w:r>
        <w:rPr>
          <w:lang w:val="en-US"/>
        </w:rPr>
        <w:t>Tb</w:t>
      </w:r>
      <w:r>
        <w:rPr>
          <w:vertAlign w:val="subscript"/>
        </w:rPr>
        <w:t>y</w:t>
      </w:r>
      <w:r>
        <w:rPr>
          <w:lang w:val="en-US"/>
        </w:rPr>
        <w:t>Dy</w:t>
      </w:r>
      <w:r>
        <w:rPr>
          <w:vertAlign w:val="subscript"/>
        </w:rPr>
        <w:t>1-</w:t>
      </w:r>
      <w:r>
        <w:rPr>
          <w:vertAlign w:val="subscript"/>
          <w:lang w:val="en-US"/>
        </w:rPr>
        <w:t>x</w:t>
      </w:r>
      <w:r>
        <w:rPr>
          <w:vertAlign w:val="subscript"/>
        </w:rPr>
        <w:t>-</w:t>
      </w:r>
      <w:r>
        <w:rPr>
          <w:vertAlign w:val="subscript"/>
          <w:lang w:val="en-US"/>
        </w:rPr>
        <w:t>y</w:t>
      </w:r>
      <w:r>
        <w:t>)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>(</w:t>
      </w:r>
      <w:r>
        <w:rPr>
          <w:lang w:val="en-US"/>
        </w:rPr>
        <w:t>BDC</w:t>
      </w:r>
      <w:r>
        <w:rPr>
          <w:rFonts w:eastAsia="SimSun"/>
        </w:rPr>
        <w:t>)</w:t>
      </w:r>
      <w:r>
        <w:rPr>
          <w:rFonts w:eastAsia="SimSun"/>
          <w:vertAlign w:val="subscript"/>
        </w:rPr>
        <w:t>3</w:t>
      </w:r>
      <w:r>
        <w:rPr>
          <w:rFonts w:eastAsia="SimSun"/>
        </w:rPr>
        <w:t>(DM</w:t>
      </w:r>
      <w:r>
        <w:rPr>
          <w:rFonts w:eastAsia="SimSun"/>
          <w:lang w:val="en-US"/>
        </w:rPr>
        <w:t>A</w:t>
      </w:r>
      <w:r>
        <w:rPr>
          <w:rFonts w:eastAsia="SimSun"/>
        </w:rPr>
        <w:t>)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 xml:space="preserve"> </w:t>
      </w:r>
      <w:r>
        <w:t>и (</w:t>
      </w:r>
      <w:r>
        <w:rPr>
          <w:lang w:val="en-US"/>
        </w:rPr>
        <w:t>Eu</w:t>
      </w:r>
      <w:r>
        <w:rPr>
          <w:vertAlign w:val="subscript"/>
        </w:rPr>
        <w:t>x</w:t>
      </w:r>
      <w:r>
        <w:rPr>
          <w:lang w:val="en-US"/>
        </w:rPr>
        <w:t>Tb</w:t>
      </w:r>
      <w:r>
        <w:rPr>
          <w:vertAlign w:val="subscript"/>
        </w:rPr>
        <w:t>1-</w:t>
      </w:r>
      <w:r>
        <w:rPr>
          <w:vertAlign w:val="subscript"/>
          <w:lang w:val="en-US"/>
        </w:rPr>
        <w:t>x</w:t>
      </w:r>
      <w:r>
        <w:t>)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>(</w:t>
      </w:r>
      <w:r>
        <w:rPr>
          <w:lang w:val="en-US"/>
        </w:rPr>
        <w:t>BDC</w:t>
      </w:r>
      <w:r>
        <w:rPr>
          <w:rFonts w:eastAsia="SimSun"/>
        </w:rPr>
        <w:t>)</w:t>
      </w:r>
      <w:r>
        <w:rPr>
          <w:rFonts w:eastAsia="SimSun"/>
          <w:vertAlign w:val="subscript"/>
        </w:rPr>
        <w:t>3</w:t>
      </w:r>
      <w:r>
        <w:rPr>
          <w:rFonts w:eastAsia="SimSun"/>
        </w:rPr>
        <w:t>(DM</w:t>
      </w:r>
      <w:r>
        <w:rPr>
          <w:rFonts w:eastAsia="SimSun"/>
          <w:lang w:val="en-US"/>
        </w:rPr>
        <w:t>A</w:t>
      </w:r>
      <w:r>
        <w:rPr>
          <w:rFonts w:eastAsia="SimSun"/>
        </w:rPr>
        <w:t>)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>. Данные каркасы рассматриваются как потенциальные люминесцентные материалы.</w:t>
      </w:r>
    </w:p>
    <w:p w14:paraId="3A3F48EB" w14:textId="77777777" w:rsidR="009E6177" w:rsidRDefault="00000000">
      <w:pPr>
        <w:pStyle w:val="a4"/>
      </w:pPr>
      <w:r>
        <w:rPr>
          <w:noProof/>
        </w:rPr>
        <w:drawing>
          <wp:inline distT="0" distB="0" distL="0" distR="0" wp14:anchorId="4C3B6BB3" wp14:editId="1E9F9DA0">
            <wp:extent cx="5828030" cy="2560320"/>
            <wp:effectExtent l="0" t="0" r="0" b="0"/>
            <wp:docPr id="1" name="Изображение 1" descr="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картинк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D29A9" w14:textId="77777777" w:rsidR="00CE3394" w:rsidRDefault="00000000" w:rsidP="00CE3394">
      <w:pPr>
        <w:pStyle w:val="a4"/>
        <w:jc w:val="cent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Рис.1 Фрагмент кристаллической структуры каркасов: </w:t>
      </w:r>
    </w:p>
    <w:p w14:paraId="4AE872C7" w14:textId="5BC42EEE" w:rsidR="009E6177" w:rsidRPr="00CE3394" w:rsidRDefault="00000000" w:rsidP="00CE3394">
      <w:pPr>
        <w:pStyle w:val="a4"/>
        <w:jc w:val="cent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а) </w:t>
      </w:r>
      <w:r>
        <w:rPr>
          <w:sz w:val="24"/>
          <w:szCs w:val="24"/>
        </w:rPr>
        <w:t>[(</w:t>
      </w:r>
      <w:r>
        <w:rPr>
          <w:sz w:val="24"/>
          <w:szCs w:val="24"/>
          <w:lang w:val="en-US"/>
        </w:rPr>
        <w:t>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NH</w:t>
      </w:r>
      <w:proofErr w:type="gramStart"/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][</w:t>
      </w:r>
      <w:proofErr w:type="gramEnd"/>
      <w:r>
        <w:rPr>
          <w:sz w:val="24"/>
          <w:szCs w:val="24"/>
          <w:lang w:val="en-US"/>
        </w:rPr>
        <w:t>Dy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BDC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DMF</w:t>
      </w:r>
      <w:r>
        <w:rPr>
          <w:sz w:val="24"/>
          <w:szCs w:val="24"/>
        </w:rPr>
        <w:t>)](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); б) [</w:t>
      </w:r>
      <w:r>
        <w:rPr>
          <w:sz w:val="24"/>
          <w:szCs w:val="24"/>
          <w:lang w:val="en-US"/>
        </w:rPr>
        <w:t>Dy</w:t>
      </w:r>
      <w:r>
        <w:rPr>
          <w:rFonts w:eastAsia="SimSun"/>
          <w:sz w:val="24"/>
          <w:szCs w:val="24"/>
          <w:vertAlign w:val="subscript"/>
        </w:rPr>
        <w:t>2</w:t>
      </w:r>
      <w:r>
        <w:rPr>
          <w:rFonts w:eastAsia="SimSun"/>
          <w:sz w:val="24"/>
          <w:szCs w:val="24"/>
        </w:rPr>
        <w:t>(</w:t>
      </w:r>
      <w:r>
        <w:rPr>
          <w:sz w:val="24"/>
          <w:szCs w:val="24"/>
          <w:lang w:val="en-US"/>
        </w:rPr>
        <w:t>BDC</w:t>
      </w:r>
      <w:r>
        <w:rPr>
          <w:rFonts w:eastAsia="SimSun"/>
          <w:sz w:val="24"/>
          <w:szCs w:val="24"/>
        </w:rPr>
        <w:t>)</w:t>
      </w:r>
      <w:r>
        <w:rPr>
          <w:rFonts w:eastAsia="SimSun"/>
          <w:sz w:val="24"/>
          <w:szCs w:val="24"/>
          <w:vertAlign w:val="subscript"/>
        </w:rPr>
        <w:t>3</w:t>
      </w:r>
      <w:r>
        <w:rPr>
          <w:rFonts w:eastAsia="SimSun"/>
          <w:sz w:val="24"/>
          <w:szCs w:val="24"/>
        </w:rPr>
        <w:t>(DM</w:t>
      </w:r>
      <w:r>
        <w:rPr>
          <w:rFonts w:eastAsia="SimSun"/>
          <w:sz w:val="24"/>
          <w:szCs w:val="24"/>
          <w:lang w:val="en-US"/>
        </w:rPr>
        <w:t>A</w:t>
      </w:r>
      <w:r>
        <w:rPr>
          <w:rFonts w:eastAsia="SimSun"/>
          <w:sz w:val="24"/>
          <w:szCs w:val="24"/>
        </w:rPr>
        <w:t>)</w:t>
      </w:r>
      <w:r>
        <w:rPr>
          <w:rFonts w:eastAsia="SimSun"/>
          <w:sz w:val="24"/>
          <w:szCs w:val="24"/>
          <w:vertAlign w:val="subscript"/>
        </w:rPr>
        <w:t>2</w:t>
      </w:r>
      <w:r>
        <w:rPr>
          <w:rFonts w:eastAsia="SimSun"/>
          <w:sz w:val="24"/>
          <w:szCs w:val="24"/>
        </w:rPr>
        <w:t>].</w:t>
      </w:r>
    </w:p>
    <w:p w14:paraId="5288268A" w14:textId="77777777" w:rsidR="009E6177" w:rsidRPr="00CE3394" w:rsidRDefault="00000000">
      <w:pPr>
        <w:shd w:val="clear" w:color="auto" w:fill="FFFFFF"/>
        <w:jc w:val="both"/>
        <w:rPr>
          <w:i/>
          <w:iCs/>
        </w:rPr>
      </w:pPr>
      <w:r w:rsidRPr="00CE3394">
        <w:rPr>
          <w:i/>
          <w:iCs/>
        </w:rPr>
        <w:t>Работа выполнена при поддержке РНФ (проект №22-73-10089).</w:t>
      </w:r>
    </w:p>
    <w:sectPr w:rsidR="009E6177" w:rsidRPr="00CE3394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8188" w14:textId="77777777" w:rsidR="00B30FD6" w:rsidRDefault="00B30FD6">
      <w:r>
        <w:separator/>
      </w:r>
    </w:p>
  </w:endnote>
  <w:endnote w:type="continuationSeparator" w:id="0">
    <w:p w14:paraId="10BD5B15" w14:textId="77777777" w:rsidR="00B30FD6" w:rsidRDefault="00B3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E5A4" w14:textId="77777777" w:rsidR="00B30FD6" w:rsidRDefault="00B30FD6">
      <w:r>
        <w:separator/>
      </w:r>
    </w:p>
  </w:footnote>
  <w:footnote w:type="continuationSeparator" w:id="0">
    <w:p w14:paraId="332A713A" w14:textId="77777777" w:rsidR="00B30FD6" w:rsidRDefault="00B30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5"/>
      <w:numFmt w:val="upperLetter"/>
      <w:suff w:val="nothing"/>
      <w:lvlText w:val="%1-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22325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77"/>
    <w:rsid w:val="009E6177"/>
    <w:rsid w:val="00B30FD6"/>
    <w:rsid w:val="00CE3394"/>
    <w:rsid w:val="058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64E3"/>
  <w15:docId w15:val="{0AD54C22-6970-0E45-9F50-B8BD43C7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styleId="a4">
    <w:name w:val="annotation text"/>
    <w:basedOn w:val="a"/>
    <w:qFormat/>
    <w:rPr>
      <w:sz w:val="20"/>
      <w:szCs w:val="2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character" w:customStyle="1" w:styleId="-">
    <w:name w:val="Интернет-ссылка"/>
    <w:basedOn w:val="a0"/>
    <w:qFormat/>
    <w:rPr>
      <w:color w:val="0000FF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voropaeva.lik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WPS_1672642735</dc:creator>
  <cp:lastModifiedBy>Дарья Карлова</cp:lastModifiedBy>
  <cp:revision>4</cp:revision>
  <dcterms:created xsi:type="dcterms:W3CDTF">2024-02-15T17:32:00Z</dcterms:created>
  <dcterms:modified xsi:type="dcterms:W3CDTF">2024-03-04T02:36:00Z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575482D3A3D643DB82F31C004D5A90E8</vt:lpwstr>
  </property>
  <property fmtid="{D5CDD505-2E9C-101B-9397-08002B2CF9AE}" pid="3" name="KSOProductBuildVer">
    <vt:lpwstr>1049-11.2.0.11225</vt:lpwstr>
  </property>
</Properties>
</file>