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57FA" w14:textId="77777777" w:rsidR="00274D71" w:rsidRDefault="00000000">
      <w:pPr>
        <w:pStyle w:val="1"/>
      </w:pPr>
      <w:proofErr w:type="spellStart"/>
      <w:r>
        <w:t>Пентафторпропионаты</w:t>
      </w:r>
      <w:proofErr w:type="spellEnd"/>
      <w:r>
        <w:t xml:space="preserve"> редкоземельных элементов: синтез, структура и свойства</w:t>
      </w:r>
    </w:p>
    <w:p w14:paraId="138405D0" w14:textId="77777777" w:rsidR="00274D71" w:rsidRDefault="00000000">
      <w:pPr>
        <w:pStyle w:val="2"/>
        <w:rPr>
          <w:lang w:eastAsia="ru-RU"/>
        </w:rPr>
      </w:pPr>
      <w:r>
        <w:rPr>
          <w:lang w:eastAsia="ru-RU"/>
        </w:rPr>
        <w:t>Блинникова Д.А.</w:t>
      </w:r>
    </w:p>
    <w:p w14:paraId="4ADFB6EE" w14:textId="77777777" w:rsidR="00274D71" w:rsidRDefault="00000000">
      <w:pPr>
        <w:pStyle w:val="3"/>
        <w:rPr>
          <w:lang w:eastAsia="ru-RU"/>
        </w:rPr>
      </w:pPr>
      <w:r>
        <w:rPr>
          <w:lang w:eastAsia="ru-RU"/>
        </w:rPr>
        <w:t>Студент, 4 курс бакалавриата</w:t>
      </w:r>
    </w:p>
    <w:p w14:paraId="0379B569" w14:textId="77777777" w:rsidR="00274D71" w:rsidRDefault="00000000">
      <w:pPr>
        <w:pStyle w:val="3"/>
        <w:rPr>
          <w:lang w:eastAsia="ru-RU"/>
        </w:rPr>
      </w:pPr>
      <w:r>
        <w:rPr>
          <w:lang w:eastAsia="ru-RU"/>
        </w:rPr>
        <w:t xml:space="preserve">Московский государственный университет имени М.В. Ломоносова, </w:t>
      </w:r>
    </w:p>
    <w:p w14:paraId="6F3134AA" w14:textId="77777777" w:rsidR="00274D71" w:rsidRDefault="00000000">
      <w:pPr>
        <w:pStyle w:val="3"/>
        <w:rPr>
          <w:lang w:eastAsia="ru-RU"/>
        </w:rPr>
      </w:pPr>
      <w:r>
        <w:rPr>
          <w:lang w:eastAsia="ru-RU"/>
        </w:rPr>
        <w:t>химический факультет, Москва, Россия</w:t>
      </w:r>
    </w:p>
    <w:p w14:paraId="4DBE4E73" w14:textId="77777777" w:rsidR="00274D71" w:rsidRDefault="00000000">
      <w:pPr>
        <w:pStyle w:val="3"/>
      </w:pPr>
      <w:r>
        <w:rPr>
          <w:lang w:val="en-US" w:eastAsia="ru-RU"/>
        </w:rPr>
        <w:t>E</w:t>
      </w:r>
      <w:r>
        <w:rPr>
          <w:lang w:eastAsia="ru-RU"/>
        </w:rPr>
        <w:t>-</w:t>
      </w:r>
      <w:r>
        <w:rPr>
          <w:lang w:val="en-US" w:eastAsia="ru-RU"/>
        </w:rPr>
        <w:t>mail</w:t>
      </w:r>
      <w:r>
        <w:rPr>
          <w:lang w:eastAsia="ru-RU"/>
        </w:rPr>
        <w:t xml:space="preserve">: </w:t>
      </w:r>
      <w:r w:rsidRPr="003904BF">
        <w:rPr>
          <w:u w:val="single"/>
          <w:lang w:val="en-US"/>
        </w:rPr>
        <w:t>d</w:t>
      </w:r>
      <w:r w:rsidRPr="003904BF">
        <w:rPr>
          <w:u w:val="single"/>
        </w:rPr>
        <w:t>.</w:t>
      </w:r>
      <w:proofErr w:type="spellStart"/>
      <w:r w:rsidRPr="003904BF">
        <w:rPr>
          <w:u w:val="single"/>
          <w:lang w:val="en-US"/>
        </w:rPr>
        <w:t>blinnikovaa</w:t>
      </w:r>
      <w:proofErr w:type="spellEnd"/>
      <w:r w:rsidRPr="003904BF">
        <w:rPr>
          <w:u w:val="single"/>
        </w:rPr>
        <w:t>@</w:t>
      </w:r>
      <w:proofErr w:type="spellStart"/>
      <w:r w:rsidRPr="003904BF">
        <w:rPr>
          <w:u w:val="single"/>
          <w:lang w:val="en-US"/>
        </w:rPr>
        <w:t>gmail</w:t>
      </w:r>
      <w:proofErr w:type="spellEnd"/>
      <w:r w:rsidRPr="003904BF">
        <w:rPr>
          <w:u w:val="single"/>
        </w:rPr>
        <w:t>.</w:t>
      </w:r>
      <w:r w:rsidRPr="003904BF">
        <w:rPr>
          <w:u w:val="single"/>
          <w:lang w:val="en-US"/>
        </w:rPr>
        <w:t>com</w:t>
      </w:r>
    </w:p>
    <w:p w14:paraId="18D472D0" w14:textId="77777777" w:rsidR="00274D71" w:rsidRPr="003904BF" w:rsidRDefault="00000000" w:rsidP="00390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397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Карбоксилаты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 xml:space="preserve"> редкоземельных элементов проявляют разнообразие структурных форм, среди которых важно отметить изолированные 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биядерные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 xml:space="preserve"> молекулы (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напримербиядерные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 xml:space="preserve"> гидраты 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перфторкарбоксилатов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 xml:space="preserve"> РЗЭ [Y2(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pfp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>)6(H2O)6]</w:t>
      </w:r>
      <w:r w:rsidRPr="003904BF">
        <w:rPr>
          <w:rFonts w:eastAsia="Times New Roman" w:cs="Times New Roman"/>
          <w:color w:val="000000"/>
          <w:szCs w:val="24"/>
          <w:lang w:eastAsia="ru-RU"/>
        </w:rPr>
        <w:fldChar w:fldCharType="begin"/>
      </w:r>
      <w:r w:rsidRPr="003904BF">
        <w:rPr>
          <w:rFonts w:eastAsia="Times New Roman" w:cs="Times New Roman"/>
          <w:color w:val="000000"/>
          <w:szCs w:val="24"/>
          <w:lang w:eastAsia="ru-RU"/>
        </w:rPr>
        <w:instrText>vnd.oasis.opendocument.field.UNHANDLED</w:instrText>
      </w:r>
      <w:r w:rsidRPr="003904BF">
        <w:rPr>
          <w:rFonts w:eastAsia="Times New Roman" w:cs="Times New Roman"/>
          <w:color w:val="000000"/>
          <w:szCs w:val="24"/>
          <w:lang w:eastAsia="ru-RU"/>
        </w:rPr>
        <w:fldChar w:fldCharType="separate"/>
      </w:r>
      <w:r w:rsidRPr="003904BF">
        <w:rPr>
          <w:rFonts w:eastAsia="Times New Roman" w:cs="Times New Roman"/>
          <w:color w:val="000000"/>
          <w:szCs w:val="24"/>
          <w:lang w:eastAsia="ru-RU"/>
        </w:rPr>
        <w:t>[1]</w:t>
      </w:r>
      <w:r w:rsidRPr="003904BF">
        <w:rPr>
          <w:rFonts w:eastAsia="Times New Roman" w:cs="Times New Roman"/>
          <w:color w:val="000000"/>
          <w:szCs w:val="24"/>
          <w:lang w:eastAsia="ru-RU"/>
        </w:rPr>
        <w:fldChar w:fldCharType="end"/>
      </w:r>
      <w:r w:rsidRPr="003904BF">
        <w:rPr>
          <w:rFonts w:eastAsia="Times New Roman" w:cs="Times New Roman"/>
          <w:color w:val="000000"/>
          <w:szCs w:val="24"/>
          <w:lang w:eastAsia="ru-RU"/>
        </w:rPr>
        <w:t>) и 1D-координационные полимеры ([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Sc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>(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tfa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>)3]</w:t>
      </w:r>
      <w:r w:rsidRPr="003904BF">
        <w:rPr>
          <w:rFonts w:eastAsia="Times New Roman" w:cs="Times New Roman"/>
          <w:color w:val="000000"/>
          <w:szCs w:val="24"/>
          <w:lang w:eastAsia="ru-RU"/>
        </w:rPr>
        <w:fldChar w:fldCharType="begin"/>
      </w:r>
      <w:r w:rsidRPr="003904BF">
        <w:rPr>
          <w:rFonts w:eastAsia="Times New Roman" w:cs="Times New Roman"/>
          <w:color w:val="000000"/>
          <w:szCs w:val="24"/>
          <w:lang w:eastAsia="ru-RU"/>
        </w:rPr>
        <w:instrText>vnd.oasis.opendocument.field.UNHANDLED</w:instrText>
      </w:r>
      <w:r w:rsidRPr="003904BF">
        <w:rPr>
          <w:rFonts w:eastAsia="Times New Roman" w:cs="Times New Roman"/>
          <w:color w:val="000000"/>
          <w:szCs w:val="24"/>
          <w:lang w:eastAsia="ru-RU"/>
        </w:rPr>
        <w:fldChar w:fldCharType="separate"/>
      </w:r>
      <w:r w:rsidRPr="003904BF">
        <w:rPr>
          <w:rFonts w:eastAsia="Times New Roman" w:cs="Times New Roman"/>
          <w:color w:val="000000"/>
          <w:szCs w:val="24"/>
          <w:lang w:eastAsia="ru-RU"/>
        </w:rPr>
        <w:t>[2]</w:t>
      </w:r>
      <w:r w:rsidRPr="003904BF">
        <w:rPr>
          <w:rFonts w:eastAsia="Times New Roman" w:cs="Times New Roman"/>
          <w:color w:val="000000"/>
          <w:szCs w:val="24"/>
          <w:lang w:eastAsia="ru-RU"/>
        </w:rPr>
        <w:fldChar w:fldCharType="end"/>
      </w:r>
      <w:r w:rsidRPr="003904BF">
        <w:rPr>
          <w:rFonts w:eastAsia="Times New Roman" w:cs="Times New Roman"/>
          <w:color w:val="000000"/>
          <w:szCs w:val="24"/>
          <w:lang w:eastAsia="ru-RU"/>
        </w:rPr>
        <w:t>, [Ln(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piv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>)3]</w:t>
      </w:r>
      <w:r w:rsidRPr="003904BF">
        <w:rPr>
          <w:rFonts w:eastAsia="Times New Roman" w:cs="Times New Roman"/>
          <w:color w:val="000000"/>
          <w:szCs w:val="24"/>
          <w:lang w:eastAsia="ru-RU"/>
        </w:rPr>
        <w:fldChar w:fldCharType="begin"/>
      </w:r>
      <w:r w:rsidRPr="003904BF">
        <w:rPr>
          <w:rFonts w:eastAsia="Times New Roman" w:cs="Times New Roman"/>
          <w:color w:val="000000"/>
          <w:szCs w:val="24"/>
          <w:lang w:eastAsia="ru-RU"/>
        </w:rPr>
        <w:instrText>vnd.oasis.opendocument.field.UNHANDLED</w:instrText>
      </w:r>
      <w:r w:rsidRPr="003904BF">
        <w:rPr>
          <w:rFonts w:eastAsia="Times New Roman" w:cs="Times New Roman"/>
          <w:color w:val="000000"/>
          <w:szCs w:val="24"/>
          <w:lang w:eastAsia="ru-RU"/>
        </w:rPr>
        <w:fldChar w:fldCharType="separate"/>
      </w:r>
      <w:r w:rsidRPr="003904BF">
        <w:rPr>
          <w:rFonts w:eastAsia="Times New Roman" w:cs="Times New Roman"/>
          <w:color w:val="000000"/>
          <w:szCs w:val="24"/>
          <w:lang w:eastAsia="ru-RU"/>
        </w:rPr>
        <w:t>[3]</w:t>
      </w:r>
      <w:r w:rsidRPr="003904BF">
        <w:rPr>
          <w:rFonts w:eastAsia="Times New Roman" w:cs="Times New Roman"/>
          <w:color w:val="000000"/>
          <w:szCs w:val="24"/>
          <w:lang w:eastAsia="ru-RU"/>
        </w:rPr>
        <w:fldChar w:fldCharType="end"/>
      </w:r>
      <w:r w:rsidRPr="003904BF">
        <w:rPr>
          <w:rFonts w:eastAsia="Times New Roman" w:cs="Times New Roman"/>
          <w:color w:val="000000"/>
          <w:szCs w:val="24"/>
          <w:lang w:eastAsia="ru-RU"/>
        </w:rPr>
        <w:t xml:space="preserve">). В целом, образование координационных полимеров (координационных соединений цепочечного, слоистого или каркасного строения, в которых ионы металла связаны мостиковыми органическими 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лигандами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 xml:space="preserve">) характерно для 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карбоксилатов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 xml:space="preserve"> РЗЭ. Предыдущие исследования показали, что такие вещества демонстрируют особые физические свойства, в том числе температурно-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индуциорванные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 xml:space="preserve"> структурные превращения. Цель работы – синтез, исследование структуры и свойств 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пентафторпропионатов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 xml:space="preserve"> редкоземельных элементов.</w:t>
      </w:r>
    </w:p>
    <w:p w14:paraId="294551A8" w14:textId="34B5AB3D" w:rsidR="00274D71" w:rsidRPr="003904BF" w:rsidRDefault="00000000" w:rsidP="00390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397"/>
        <w:rPr>
          <w:rFonts w:eastAsia="Times New Roman" w:cs="Times New Roman"/>
          <w:color w:val="000000"/>
          <w:szCs w:val="24"/>
          <w:lang w:eastAsia="ru-RU"/>
        </w:rPr>
      </w:pPr>
      <w:r w:rsidRPr="003904BF">
        <w:rPr>
          <w:rFonts w:eastAsia="Times New Roman" w:cs="Times New Roman"/>
          <w:color w:val="000000"/>
          <w:szCs w:val="24"/>
          <w:lang w:eastAsia="ru-RU"/>
        </w:rPr>
        <w:t xml:space="preserve">На первом этапе был проведён синтез 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пентафторпропионатов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 xml:space="preserve"> РЗЭ: скандия, иттрия и ряда лантанидов (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Gd-Lu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>), проведён термогравиметрический анализ и рентгенофазовый анализ (в том числе при переменной температуре) для [Ln2(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pfp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>)6(H2O)6]. Установлено, что для элементов легче гадолиния [Ln2(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pfp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>)6(H2O)6] кристаллизуются в новом неизвестном структурном типе. Термическая дегидратация [Ln2(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pfp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>)6(H2O)6] происходит при температуре 80-130⁯⁰С, полное разложение до фторидов LnF3 – при температуре 280-300</w:t>
      </w:r>
      <w:r w:rsidR="003904B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3904BF">
        <w:rPr>
          <w:rFonts w:eastAsia="Times New Roman" w:cs="Times New Roman"/>
          <w:color w:val="000000"/>
          <w:szCs w:val="24"/>
          <w:lang w:eastAsia="ru-RU"/>
        </w:rPr>
        <w:t>⁰С. Установлена кристаллическая структура [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Sc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>(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pfp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>)3]. Показано, что в промежутке 400-130К дегидратированные [Ln(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pfp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 xml:space="preserve">)3] 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изоструктурны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 xml:space="preserve"> [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Sc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>(</w:t>
      </w:r>
      <w:proofErr w:type="spellStart"/>
      <w:r w:rsidRPr="003904BF">
        <w:rPr>
          <w:rFonts w:eastAsia="Times New Roman" w:cs="Times New Roman"/>
          <w:color w:val="000000"/>
          <w:szCs w:val="24"/>
          <w:lang w:eastAsia="ru-RU"/>
        </w:rPr>
        <w:t>pfp</w:t>
      </w:r>
      <w:proofErr w:type="spellEnd"/>
      <w:r w:rsidRPr="003904BF">
        <w:rPr>
          <w:rFonts w:eastAsia="Times New Roman" w:cs="Times New Roman"/>
          <w:color w:val="000000"/>
          <w:szCs w:val="24"/>
          <w:lang w:eastAsia="ru-RU"/>
        </w:rPr>
        <w:t xml:space="preserve">)3], а ниже 130К происходит структурный фазовый переход с понижением симметрии. </w:t>
      </w:r>
    </w:p>
    <w:p w14:paraId="635A676E" w14:textId="77777777" w:rsidR="00274D71" w:rsidRDefault="00000000" w:rsidP="00390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397"/>
        <w:rPr>
          <w:rFonts w:cs="Times New Roman"/>
          <w:szCs w:val="24"/>
        </w:rPr>
      </w:pPr>
      <w:r w:rsidRPr="003904BF">
        <w:rPr>
          <w:rFonts w:eastAsia="Times New Roman" w:cs="Times New Roman"/>
          <w:color w:val="000000"/>
          <w:szCs w:val="24"/>
          <w:lang w:eastAsia="ru-RU"/>
        </w:rPr>
        <w:t>На</w:t>
      </w:r>
      <w:r>
        <w:rPr>
          <w:szCs w:val="24"/>
        </w:rPr>
        <w:t xml:space="preserve"> втором этапе был осуществлён синтез </w:t>
      </w:r>
      <w:proofErr w:type="spellStart"/>
      <w:r>
        <w:rPr>
          <w:szCs w:val="24"/>
        </w:rPr>
        <w:t>смешаннометаллических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пентафторпропионатов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Tb-Eu</w:t>
      </w:r>
      <w:proofErr w:type="spellEnd"/>
      <w:r>
        <w:rPr>
          <w:szCs w:val="24"/>
        </w:rPr>
        <w:t xml:space="preserve">. </w:t>
      </w:r>
      <w:r>
        <w:rPr>
          <w:rFonts w:eastAsia="Times New Roman" w:cs="Times New Roman"/>
          <w:szCs w:val="24"/>
        </w:rPr>
        <w:t xml:space="preserve">Установлено, что из-за различий в кристаллической структуре совместная кристаллизация </w:t>
      </w:r>
      <w:r>
        <w:rPr>
          <w:rFonts w:eastAsia="Times New Roman" w:cs="Times New Roman"/>
          <w:szCs w:val="24"/>
          <w:lang w:eastAsia="ru-RU"/>
        </w:rPr>
        <w:t>[</w:t>
      </w:r>
      <w:r>
        <w:rPr>
          <w:rFonts w:eastAsia="Times New Roman" w:cs="Times New Roman"/>
          <w:szCs w:val="24"/>
          <w:lang w:val="en-US" w:eastAsia="ru-RU"/>
        </w:rPr>
        <w:t>Tb</w:t>
      </w:r>
      <w:r>
        <w:rPr>
          <w:rFonts w:eastAsia="Times New Roman" w:cs="Times New Roman"/>
          <w:szCs w:val="24"/>
          <w:vertAlign w:val="subscript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>(</w:t>
      </w:r>
      <w:proofErr w:type="spellStart"/>
      <w:r>
        <w:rPr>
          <w:rFonts w:eastAsia="Times New Roman" w:cs="Times New Roman"/>
          <w:szCs w:val="24"/>
          <w:lang w:eastAsia="ru-RU"/>
        </w:rPr>
        <w:t>pfp</w:t>
      </w:r>
      <w:proofErr w:type="spellEnd"/>
      <w:r>
        <w:rPr>
          <w:rFonts w:eastAsia="Times New Roman" w:cs="Times New Roman"/>
          <w:szCs w:val="24"/>
          <w:lang w:eastAsia="ru-RU"/>
        </w:rPr>
        <w:t>)</w:t>
      </w:r>
      <w:r>
        <w:rPr>
          <w:rFonts w:eastAsia="Times New Roman" w:cs="Times New Roman"/>
          <w:szCs w:val="24"/>
          <w:vertAlign w:val="subscript"/>
          <w:lang w:eastAsia="ru-RU"/>
        </w:rPr>
        <w:t>6</w:t>
      </w:r>
      <w:r>
        <w:rPr>
          <w:rFonts w:eastAsia="Times New Roman" w:cs="Times New Roman"/>
          <w:szCs w:val="24"/>
          <w:lang w:eastAsia="ru-RU"/>
        </w:rPr>
        <w:t>(H</w:t>
      </w:r>
      <w:r>
        <w:rPr>
          <w:rFonts w:eastAsia="Times New Roman" w:cs="Times New Roman"/>
          <w:szCs w:val="24"/>
          <w:vertAlign w:val="subscript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>O)</w:t>
      </w:r>
      <w:r>
        <w:rPr>
          <w:rFonts w:eastAsia="Times New Roman" w:cs="Times New Roman"/>
          <w:szCs w:val="24"/>
          <w:vertAlign w:val="subscript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>] и [</w:t>
      </w:r>
      <w:r>
        <w:rPr>
          <w:rFonts w:eastAsia="Times New Roman" w:cs="Times New Roman"/>
          <w:szCs w:val="24"/>
          <w:lang w:val="en-US" w:eastAsia="ru-RU"/>
        </w:rPr>
        <w:t>Eu</w:t>
      </w:r>
      <w:r>
        <w:rPr>
          <w:rFonts w:eastAsia="Times New Roman" w:cs="Times New Roman"/>
          <w:szCs w:val="24"/>
          <w:vertAlign w:val="subscript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>(</w:t>
      </w:r>
      <w:proofErr w:type="spellStart"/>
      <w:r>
        <w:rPr>
          <w:rFonts w:eastAsia="Times New Roman" w:cs="Times New Roman"/>
          <w:szCs w:val="24"/>
          <w:lang w:eastAsia="ru-RU"/>
        </w:rPr>
        <w:t>pfp</w:t>
      </w:r>
      <w:proofErr w:type="spellEnd"/>
      <w:r>
        <w:rPr>
          <w:rFonts w:eastAsia="Times New Roman" w:cs="Times New Roman"/>
          <w:szCs w:val="24"/>
          <w:lang w:eastAsia="ru-RU"/>
        </w:rPr>
        <w:t>)</w:t>
      </w:r>
      <w:r>
        <w:rPr>
          <w:rFonts w:eastAsia="Times New Roman" w:cs="Times New Roman"/>
          <w:szCs w:val="24"/>
          <w:vertAlign w:val="subscript"/>
          <w:lang w:eastAsia="ru-RU"/>
        </w:rPr>
        <w:t>6</w:t>
      </w:r>
      <w:r>
        <w:rPr>
          <w:rFonts w:eastAsia="Times New Roman" w:cs="Times New Roman"/>
          <w:szCs w:val="24"/>
          <w:lang w:eastAsia="ru-RU"/>
        </w:rPr>
        <w:t>(H</w:t>
      </w:r>
      <w:r>
        <w:rPr>
          <w:rFonts w:eastAsia="Times New Roman" w:cs="Times New Roman"/>
          <w:szCs w:val="24"/>
          <w:vertAlign w:val="subscript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>O)</w:t>
      </w:r>
      <w:r>
        <w:rPr>
          <w:rFonts w:eastAsia="Times New Roman" w:cs="Times New Roman"/>
          <w:szCs w:val="24"/>
          <w:vertAlign w:val="subscript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 xml:space="preserve">] из растворов в ацетонитриле приводит к выделению двухфазной смеси. Введение дополнительного нейтрального </w:t>
      </w:r>
      <w:proofErr w:type="spellStart"/>
      <w:r>
        <w:rPr>
          <w:rFonts w:eastAsia="Times New Roman" w:cs="Times New Roman"/>
          <w:szCs w:val="24"/>
          <w:lang w:eastAsia="ru-RU"/>
        </w:rPr>
        <w:t>лиганда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позволило получить однофазные соединения [Ln</w:t>
      </w:r>
      <w:r>
        <w:rPr>
          <w:rFonts w:eastAsia="Times New Roman" w:cs="Times New Roman"/>
          <w:szCs w:val="24"/>
          <w:vertAlign w:val="subscript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>(</w:t>
      </w:r>
      <w:proofErr w:type="spellStart"/>
      <w:r>
        <w:rPr>
          <w:rFonts w:eastAsia="Times New Roman" w:cs="Times New Roman"/>
          <w:szCs w:val="24"/>
          <w:lang w:eastAsia="ru-RU"/>
        </w:rPr>
        <w:t>pfp</w:t>
      </w:r>
      <w:proofErr w:type="spellEnd"/>
      <w:r>
        <w:rPr>
          <w:rFonts w:eastAsia="Times New Roman" w:cs="Times New Roman"/>
          <w:szCs w:val="24"/>
          <w:lang w:eastAsia="ru-RU"/>
        </w:rPr>
        <w:t>)</w:t>
      </w:r>
      <w:r>
        <w:rPr>
          <w:rFonts w:eastAsia="Times New Roman" w:cs="Times New Roman"/>
          <w:szCs w:val="24"/>
          <w:vertAlign w:val="subscript"/>
          <w:lang w:eastAsia="ru-RU"/>
        </w:rPr>
        <w:t>6</w:t>
      </w:r>
      <w:r>
        <w:rPr>
          <w:rFonts w:eastAsia="Times New Roman" w:cs="Times New Roman"/>
          <w:szCs w:val="24"/>
          <w:lang w:eastAsia="ru-RU"/>
        </w:rPr>
        <w:t>(</w:t>
      </w:r>
      <w:proofErr w:type="spellStart"/>
      <w:r>
        <w:rPr>
          <w:rFonts w:eastAsia="Times New Roman" w:cs="Times New Roman"/>
          <w:szCs w:val="24"/>
          <w:lang w:eastAsia="ru-RU"/>
        </w:rPr>
        <w:t>diglyme</w:t>
      </w:r>
      <w:proofErr w:type="spellEnd"/>
      <w:r>
        <w:rPr>
          <w:rFonts w:eastAsia="Times New Roman" w:cs="Times New Roman"/>
          <w:szCs w:val="24"/>
          <w:lang w:eastAsia="ru-RU"/>
        </w:rPr>
        <w:t>)</w:t>
      </w:r>
      <w:r>
        <w:rPr>
          <w:rFonts w:eastAsia="Times New Roman" w:cs="Times New Roman"/>
          <w:szCs w:val="24"/>
          <w:vertAlign w:val="subscript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>] (</w:t>
      </w:r>
      <w:proofErr w:type="spellStart"/>
      <w:r>
        <w:rPr>
          <w:rFonts w:cs="Times New Roman"/>
          <w:szCs w:val="24"/>
        </w:rPr>
        <w:t>Ln</w:t>
      </w:r>
      <w:proofErr w:type="spellEnd"/>
      <w:r>
        <w:rPr>
          <w:rFonts w:cs="Times New Roman"/>
          <w:szCs w:val="24"/>
        </w:rPr>
        <w:t xml:space="preserve"> = </w:t>
      </w:r>
      <w:proofErr w:type="spellStart"/>
      <w:r>
        <w:rPr>
          <w:rFonts w:cs="Times New Roman"/>
          <w:szCs w:val="24"/>
        </w:rPr>
        <w:t>Eu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Tb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в соотношении 10:90, 5:95, 1:99). Были получены данные ТГА и </w:t>
      </w:r>
      <w:proofErr w:type="spellStart"/>
      <w:r>
        <w:rPr>
          <w:rFonts w:eastAsia="Times New Roman" w:cs="Times New Roman"/>
          <w:szCs w:val="24"/>
          <w:lang w:eastAsia="ru-RU"/>
        </w:rPr>
        <w:t>политермической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порошковой рентгеновской дифракции, показавшие отщепление нейтрального </w:t>
      </w:r>
      <w:proofErr w:type="spellStart"/>
      <w:r>
        <w:rPr>
          <w:rFonts w:eastAsia="Times New Roman" w:cs="Times New Roman"/>
          <w:szCs w:val="24"/>
          <w:lang w:eastAsia="ru-RU"/>
        </w:rPr>
        <w:t>лиганда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и получение соединения [</w:t>
      </w:r>
      <w:proofErr w:type="spellStart"/>
      <w:r>
        <w:rPr>
          <w:rFonts w:eastAsia="Times New Roman" w:cs="Times New Roman"/>
          <w:szCs w:val="24"/>
          <w:lang w:eastAsia="ru-RU"/>
        </w:rPr>
        <w:t>Ln</w:t>
      </w:r>
      <w:proofErr w:type="spellEnd"/>
      <w:r>
        <w:rPr>
          <w:rFonts w:eastAsia="Times New Roman" w:cs="Times New Roman"/>
          <w:szCs w:val="24"/>
          <w:lang w:eastAsia="ru-RU"/>
        </w:rPr>
        <w:t>(</w:t>
      </w:r>
      <w:proofErr w:type="spellStart"/>
      <w:r>
        <w:rPr>
          <w:rFonts w:eastAsia="Times New Roman" w:cs="Times New Roman"/>
          <w:szCs w:val="24"/>
          <w:lang w:eastAsia="ru-RU"/>
        </w:rPr>
        <w:t>pfp</w:t>
      </w:r>
      <w:proofErr w:type="spellEnd"/>
      <w:r>
        <w:rPr>
          <w:rFonts w:eastAsia="Times New Roman" w:cs="Times New Roman"/>
          <w:szCs w:val="24"/>
          <w:lang w:eastAsia="ru-RU"/>
        </w:rPr>
        <w:t>)</w:t>
      </w:r>
      <w:r>
        <w:rPr>
          <w:rFonts w:eastAsia="Times New Roman" w:cs="Times New Roman"/>
          <w:szCs w:val="24"/>
          <w:vertAlign w:val="subscript"/>
          <w:lang w:eastAsia="ru-RU"/>
        </w:rPr>
        <w:t>3</w:t>
      </w:r>
      <w:r>
        <w:rPr>
          <w:rFonts w:eastAsia="Times New Roman" w:cs="Times New Roman"/>
          <w:szCs w:val="24"/>
          <w:lang w:eastAsia="ru-RU"/>
        </w:rPr>
        <w:t xml:space="preserve">], изоструктурного </w:t>
      </w:r>
      <w:r>
        <w:rPr>
          <w:rFonts w:cs="Times New Roman"/>
          <w:szCs w:val="24"/>
        </w:rPr>
        <w:t>[</w:t>
      </w:r>
      <w:proofErr w:type="spellStart"/>
      <w:r>
        <w:rPr>
          <w:szCs w:val="24"/>
        </w:rPr>
        <w:t>Tm</w:t>
      </w:r>
      <w:proofErr w:type="spellEnd"/>
      <w:r>
        <w:rPr>
          <w:szCs w:val="24"/>
        </w:rPr>
        <w:t>(</w:t>
      </w:r>
      <w:proofErr w:type="spellStart"/>
      <w:r>
        <w:rPr>
          <w:szCs w:val="24"/>
        </w:rPr>
        <w:t>pfp</w:t>
      </w:r>
      <w:proofErr w:type="spellEnd"/>
      <w:r>
        <w:rPr>
          <w:szCs w:val="24"/>
        </w:rPr>
        <w:t>)</w:t>
      </w:r>
      <w:r>
        <w:rPr>
          <w:szCs w:val="24"/>
          <w:vertAlign w:val="subscript"/>
        </w:rPr>
        <w:t>3</w:t>
      </w:r>
      <w:r>
        <w:rPr>
          <w:rFonts w:cs="Times New Roman"/>
          <w:szCs w:val="24"/>
        </w:rPr>
        <w:t xml:space="preserve">]. </w:t>
      </w:r>
    </w:p>
    <w:p w14:paraId="1E3ED927" w14:textId="4EABB0B3" w:rsidR="00274D71" w:rsidRPr="003904BF" w:rsidRDefault="003904BF" w:rsidP="003904BF">
      <w:pPr>
        <w:jc w:val="center"/>
        <w:rPr>
          <w:rFonts w:cs="Times New Roman"/>
          <w:b/>
          <w:bCs/>
          <w:szCs w:val="24"/>
        </w:rPr>
      </w:pPr>
      <w:r w:rsidRPr="003904BF">
        <w:rPr>
          <w:rFonts w:cs="Times New Roman"/>
          <w:b/>
          <w:bCs/>
          <w:szCs w:val="24"/>
        </w:rPr>
        <w:t>Литература</w:t>
      </w:r>
    </w:p>
    <w:p w14:paraId="6C1D801C" w14:textId="49FCD910" w:rsidR="00274D71" w:rsidRDefault="00000000" w:rsidP="003904BF">
      <w:pPr>
        <w:widowControl w:val="0"/>
        <w:ind w:firstLine="0"/>
        <w:rPr>
          <w:rFonts w:cs="Times New Roman"/>
          <w:szCs w:val="24"/>
          <w:lang w:val="en-US"/>
        </w:rPr>
      </w:pPr>
      <w:r>
        <w:fldChar w:fldCharType="begin"/>
      </w:r>
      <w:r w:rsidRPr="003904BF">
        <w:rPr>
          <w:lang w:val="en-US"/>
        </w:rPr>
        <w:instrText>ADDIN</w:instrText>
      </w:r>
      <w:r w:rsidRPr="003904BF">
        <w:instrText xml:space="preserve"> </w:instrText>
      </w:r>
      <w:r w:rsidRPr="003904BF">
        <w:rPr>
          <w:lang w:val="en-US"/>
        </w:rPr>
        <w:instrText>Mendeley</w:instrText>
      </w:r>
      <w:r w:rsidRPr="003904BF">
        <w:instrText xml:space="preserve"> </w:instrText>
      </w:r>
      <w:r w:rsidRPr="003904BF">
        <w:rPr>
          <w:lang w:val="en-US"/>
        </w:rPr>
        <w:instrText>Bibliography</w:instrText>
      </w:r>
      <w:r w:rsidRPr="003904BF">
        <w:instrText xml:space="preserve"> </w:instrText>
      </w:r>
      <w:r w:rsidRPr="003904BF">
        <w:rPr>
          <w:lang w:val="en-US"/>
        </w:rPr>
        <w:instrText>CSL</w:instrText>
      </w:r>
      <w:r w:rsidRPr="003904BF">
        <w:instrText>_</w:instrText>
      </w:r>
      <w:r w:rsidRPr="003904BF">
        <w:rPr>
          <w:lang w:val="en-US"/>
        </w:rPr>
        <w:instrText>BIBLIOGRAPHY</w:instrText>
      </w:r>
      <w:r>
        <w:fldChar w:fldCharType="separate"/>
      </w:r>
      <w:r w:rsidRPr="003904BF">
        <w:rPr>
          <w:rFonts w:cs="Times New Roman"/>
          <w:szCs w:val="24"/>
        </w:rPr>
        <w:t>1.</w:t>
      </w:r>
      <w:r w:rsidR="003904B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Shevchenko</w:t>
      </w:r>
      <w:r w:rsidRPr="003904B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A</w:t>
      </w:r>
      <w:r w:rsidRPr="003904BF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  <w:lang w:val="en-US"/>
        </w:rPr>
        <w:t>et</w:t>
      </w:r>
      <w:r w:rsidRPr="003904B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al</w:t>
      </w:r>
      <w:r w:rsidRPr="003904BF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  <w:lang w:val="en-US"/>
        </w:rPr>
        <w:t>Single-Source Precursors for Chemical Solution Deposition of Up-Converting NaLnF4 Thin Films // Metals (Basel). 2022. Vol. 12, № 3. P. 1–16.</w:t>
      </w:r>
    </w:p>
    <w:p w14:paraId="42C8B54C" w14:textId="5F1B2CF3" w:rsidR="00274D71" w:rsidRDefault="00000000" w:rsidP="003904BF">
      <w:pPr>
        <w:widowControl w:val="0"/>
        <w:ind w:firstLine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2.</w:t>
      </w:r>
      <w:r w:rsidR="003904BF" w:rsidRPr="003904BF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Boyle T.J. et al. Structural Properties of the Acidification Products of Scandium Hydroxy Chloride Hydrate // Inorg. Chem. 2015. Vol. 54, № 24. P. 11831–11841.</w:t>
      </w:r>
    </w:p>
    <w:p w14:paraId="28DFF9A8" w14:textId="5D0E62FD" w:rsidR="00274D71" w:rsidRDefault="00000000" w:rsidP="003904BF">
      <w:pPr>
        <w:widowControl w:val="0"/>
        <w:ind w:firstLine="0"/>
        <w:rPr>
          <w:rFonts w:cs="Times New Roman"/>
          <w:lang w:val="en-US"/>
        </w:rPr>
      </w:pPr>
      <w:r>
        <w:rPr>
          <w:rFonts w:cs="Times New Roman"/>
          <w:szCs w:val="24"/>
          <w:lang w:val="en-US"/>
        </w:rPr>
        <w:t>3.</w:t>
      </w:r>
      <w:r w:rsidR="003904BF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Tsymbarenko</w:t>
      </w:r>
      <w:proofErr w:type="spellEnd"/>
      <w:r>
        <w:rPr>
          <w:rFonts w:cs="Times New Roman"/>
          <w:szCs w:val="24"/>
          <w:lang w:val="en-US"/>
        </w:rPr>
        <w:t xml:space="preserve"> D. et al. One-dimensional coordination polymers of whole row rare earth tris-pivalates // J. Solid State Chem. 2018.</w:t>
      </w:r>
    </w:p>
    <w:p w14:paraId="33795BBA" w14:textId="77777777" w:rsidR="00274D71" w:rsidRDefault="00000000" w:rsidP="003904BF">
      <w:pPr>
        <w:widowControl w:val="0"/>
        <w:ind w:firstLine="0"/>
        <w:rPr>
          <w:szCs w:val="24"/>
        </w:rPr>
      </w:pPr>
      <w:r>
        <w:fldChar w:fldCharType="end"/>
      </w:r>
    </w:p>
    <w:sectPr w:rsidR="00274D71" w:rsidSect="003904BF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D71"/>
    <w:rsid w:val="00274D71"/>
    <w:rsid w:val="0039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BFEDE"/>
  <w15:docId w15:val="{0AD54C22-6970-0E45-9F50-B8BD43C7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BE5"/>
    <w:pPr>
      <w:ind w:firstLine="706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B5BE5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22EA"/>
    <w:pPr>
      <w:keepNext/>
      <w:keepLines/>
      <w:ind w:firstLine="0"/>
      <w:jc w:val="center"/>
      <w:outlineLvl w:val="1"/>
    </w:pPr>
    <w:rPr>
      <w:rFonts w:eastAsiaTheme="majorEastAsia" w:cstheme="majorBidi"/>
      <w:b/>
      <w:bCs/>
      <w:i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712E"/>
    <w:pPr>
      <w:keepNext/>
      <w:keepLines/>
      <w:ind w:firstLine="0"/>
      <w:jc w:val="center"/>
      <w:outlineLvl w:val="2"/>
    </w:pPr>
    <w:rPr>
      <w:rFonts w:eastAsiaTheme="majorEastAsia" w:cstheme="majorBidi"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B5BE5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5122EA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37712E"/>
    <w:rPr>
      <w:rFonts w:ascii="Times New Roman" w:eastAsiaTheme="majorEastAsia" w:hAnsi="Times New Roman" w:cstheme="majorBidi"/>
      <w:bCs/>
      <w:i/>
      <w:sz w:val="24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next w:val="a"/>
    <w:uiPriority w:val="35"/>
    <w:unhideWhenUsed/>
    <w:qFormat/>
    <w:rsid w:val="00E86856"/>
    <w:rPr>
      <w:bCs/>
      <w:sz w:val="22"/>
      <w:szCs w:val="18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C90E07"/>
    <w:pPr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29A0AC-C1C3-4B41-8F10-B9E08FEF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Дарья Карлова</cp:lastModifiedBy>
  <cp:revision>11</cp:revision>
  <dcterms:created xsi:type="dcterms:W3CDTF">2024-02-12T07:52:00Z</dcterms:created>
  <dcterms:modified xsi:type="dcterms:W3CDTF">2024-03-04T02:19:00Z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Id 3_1">
    <vt:lpwstr>http://www.zotero.org/styles/chicago-author-date</vt:lpwstr>
  </property>
  <property fmtid="{D5CDD505-2E9C-101B-9397-08002B2CF9AE}" pid="8" name="Mendeley Recent Style Id 4_1">
    <vt:lpwstr>http://www.zotero.org/styles/harvard-cite-them-right</vt:lpwstr>
  </property>
  <property fmtid="{D5CDD505-2E9C-101B-9397-08002B2CF9AE}" pid="9" name="Mendeley Recent Style Id 5_1">
    <vt:lpwstr>http://www.zotero.org/styles/ieee</vt:lpwstr>
  </property>
  <property fmtid="{D5CDD505-2E9C-101B-9397-08002B2CF9AE}" pid="10" name="Mendeley Recent Style Id 6_1">
    <vt:lpwstr>http://www.zotero.org/styles/nature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http://www.zotero.org/styles/gost-r-7-0-5-2008-numeric-alphabetical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Sociological Association 6th edition</vt:lpwstr>
  </property>
  <property fmtid="{D5CDD505-2E9C-101B-9397-08002B2CF9AE}" pid="17" name="Mendeley Recent Style Name 3_1">
    <vt:lpwstr>Chicago Manual of Style 17th edition (author-date)</vt:lpwstr>
  </property>
  <property fmtid="{D5CDD505-2E9C-101B-9397-08002B2CF9AE}" pid="18" name="Mendeley Recent Style Name 4_1">
    <vt:lpwstr>Cite Them Right 10th edition - Harvard</vt:lpwstr>
  </property>
  <property fmtid="{D5CDD505-2E9C-101B-9397-08002B2CF9AE}" pid="19" name="Mendeley Recent Style Name 5_1">
    <vt:lpwstr>IEEE</vt:lpwstr>
  </property>
  <property fmtid="{D5CDD505-2E9C-101B-9397-08002B2CF9AE}" pid="20" name="Mendeley Recent Style Name 6_1">
    <vt:lpwstr>Nature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(numeric, sorted alphabetically, Russian)</vt:lpwstr>
  </property>
  <property fmtid="{D5CDD505-2E9C-101B-9397-08002B2CF9AE}" pid="24" name="Mendeley Unique User Id_1">
    <vt:lpwstr>b8340e4c-bd30-3072-825b-c436a40e63f2</vt:lpwstr>
  </property>
</Properties>
</file>