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E175" w14:textId="218556BB" w:rsidR="00312580" w:rsidRPr="00312580" w:rsidRDefault="00331C3C" w:rsidP="00331C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Композитные м</w:t>
      </w:r>
      <w:r w:rsidR="00312580" w:rsidRPr="00312580">
        <w:rPr>
          <w:b/>
          <w:color w:val="000000"/>
        </w:rPr>
        <w:t>атериал</w:t>
      </w:r>
      <w:r>
        <w:rPr>
          <w:b/>
          <w:color w:val="000000"/>
        </w:rPr>
        <w:t>ы</w:t>
      </w:r>
      <w:r w:rsidR="00312580" w:rsidRPr="00312580"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карбонатапатит</w:t>
      </w:r>
      <w:r w:rsidR="00B70499"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и биорезорбируемых полимеров </w:t>
      </w:r>
      <w:r w:rsidR="00312580" w:rsidRPr="00312580">
        <w:rPr>
          <w:b/>
          <w:color w:val="000000"/>
        </w:rPr>
        <w:t>для тканевой инженерии</w:t>
      </w:r>
    </w:p>
    <w:p w14:paraId="42C0E5F5" w14:textId="57949BC9" w:rsidR="00006F4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Рындык</w:t>
      </w:r>
      <w:proofErr w:type="spellEnd"/>
      <w:r>
        <w:rPr>
          <w:b/>
          <w:i/>
          <w:color w:val="000000"/>
        </w:rPr>
        <w:t xml:space="preserve"> М. П.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</w:p>
    <w:p w14:paraId="7D42BB9F" w14:textId="5E87406A" w:rsidR="00006F4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vertAlign w:val="superscript"/>
        </w:rPr>
      </w:pPr>
      <w:r>
        <w:rPr>
          <w:i/>
          <w:color w:val="000000"/>
        </w:rPr>
        <w:t xml:space="preserve">Студент, </w:t>
      </w:r>
      <w:r w:rsidR="00312580" w:rsidRPr="00312580">
        <w:rPr>
          <w:i/>
          <w:color w:val="000000"/>
        </w:rPr>
        <w:t>4</w:t>
      </w:r>
      <w:r>
        <w:rPr>
          <w:i/>
          <w:color w:val="000000"/>
        </w:rPr>
        <w:t xml:space="preserve"> курс бакалавриата </w:t>
      </w:r>
    </w:p>
    <w:p w14:paraId="0424B7E1" w14:textId="77777777" w:rsidR="00006F4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нефтехимического синтеза им. А. В. Топчиева РАН, Москва, Россия</w:t>
      </w:r>
    </w:p>
    <w:p w14:paraId="0FAEE29F" w14:textId="77777777" w:rsidR="00006F4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Национальный исследовательский университет “Высшая школа экономики”, </w:t>
      </w:r>
      <w:r>
        <w:rPr>
          <w:i/>
        </w:rPr>
        <w:t xml:space="preserve">факультет химии, </w:t>
      </w:r>
      <w:r>
        <w:rPr>
          <w:i/>
          <w:color w:val="000000"/>
        </w:rPr>
        <w:t>Москва, Россия</w:t>
      </w:r>
    </w:p>
    <w:p w14:paraId="6EF30E4E" w14:textId="6E974045" w:rsidR="00006F49" w:rsidRPr="003F5546" w:rsidRDefault="00000000" w:rsidP="003F5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vertAlign w:val="superscript"/>
          <w:lang w:val="en-US"/>
        </w:rPr>
      </w:pPr>
      <w:r w:rsidRPr="007318F7">
        <w:rPr>
          <w:i/>
          <w:color w:val="000000"/>
          <w:lang w:val="en-US"/>
        </w:rPr>
        <w:t xml:space="preserve">E-mail: </w:t>
      </w:r>
      <w:r w:rsidRPr="007318F7">
        <w:rPr>
          <w:i/>
          <w:color w:val="000000"/>
          <w:u w:val="single"/>
          <w:lang w:val="en-US"/>
        </w:rPr>
        <w:t>mpryndyk</w:t>
      </w:r>
      <w:hyperlink r:id="rId6">
        <w:r w:rsidRPr="007318F7">
          <w:rPr>
            <w:i/>
            <w:color w:val="000000"/>
            <w:u w:val="single"/>
            <w:lang w:val="en-US"/>
          </w:rPr>
          <w:t>@</w:t>
        </w:r>
      </w:hyperlink>
      <w:r w:rsidRPr="007318F7">
        <w:rPr>
          <w:i/>
          <w:color w:val="000000"/>
          <w:u w:val="single"/>
          <w:lang w:val="en-US"/>
        </w:rPr>
        <w:t>edu.hse.ru</w:t>
      </w:r>
      <w:r w:rsidRPr="007318F7">
        <w:rPr>
          <w:i/>
          <w:color w:val="000000"/>
          <w:lang w:val="en-US"/>
        </w:rPr>
        <w:t xml:space="preserve"> </w:t>
      </w:r>
    </w:p>
    <w:p w14:paraId="44D1558B" w14:textId="6E1A5889" w:rsidR="00FD7A18" w:rsidRDefault="00312580" w:rsidP="00FD7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97"/>
        <w:jc w:val="both"/>
        <w:rPr>
          <w:color w:val="000000"/>
        </w:rPr>
      </w:pPr>
      <w:r w:rsidRPr="00312580">
        <w:rPr>
          <w:color w:val="000000"/>
        </w:rPr>
        <w:t>Создание композитных материалов для костной хирургии и ортопедии является актуальной задачей.</w:t>
      </w:r>
      <w:r>
        <w:rPr>
          <w:color w:val="000000"/>
        </w:rPr>
        <w:t xml:space="preserve"> Широко применяемые для костного протезирования </w:t>
      </w:r>
      <w:r w:rsidRPr="00312580">
        <w:rPr>
          <w:color w:val="000000"/>
        </w:rPr>
        <w:t>гидроксиапатит</w:t>
      </w:r>
      <w:r w:rsidR="00331C3C">
        <w:rPr>
          <w:color w:val="000000"/>
        </w:rPr>
        <w:t> </w:t>
      </w:r>
      <w:r w:rsidRPr="00312580">
        <w:rPr>
          <w:color w:val="000000"/>
        </w:rPr>
        <w:t>(</w:t>
      </w:r>
      <w:proofErr w:type="spellStart"/>
      <w:r w:rsidRPr="00312580">
        <w:rPr>
          <w:color w:val="000000"/>
          <w:lang w:val="en-US"/>
        </w:rPr>
        <w:t>HAp</w:t>
      </w:r>
      <w:proofErr w:type="spellEnd"/>
      <w:r w:rsidRPr="00312580">
        <w:rPr>
          <w:color w:val="000000"/>
        </w:rPr>
        <w:t xml:space="preserve">) </w:t>
      </w:r>
      <w:r>
        <w:rPr>
          <w:color w:val="000000"/>
        </w:rPr>
        <w:t xml:space="preserve">и </w:t>
      </w:r>
      <w:r w:rsidRPr="00312580">
        <w:rPr>
          <w:color w:val="000000"/>
        </w:rPr>
        <w:t>α- и β-</w:t>
      </w:r>
      <w:proofErr w:type="spellStart"/>
      <w:r w:rsidRPr="00312580">
        <w:rPr>
          <w:color w:val="000000"/>
        </w:rPr>
        <w:t>трикальцийфосфат</w:t>
      </w:r>
      <w:r>
        <w:rPr>
          <w:color w:val="000000"/>
        </w:rPr>
        <w:t>ы</w:t>
      </w:r>
      <w:proofErr w:type="spellEnd"/>
      <w:r w:rsidRPr="00312580">
        <w:rPr>
          <w:color w:val="000000"/>
        </w:rPr>
        <w:t xml:space="preserve"> (TCP)</w:t>
      </w:r>
      <w:r>
        <w:rPr>
          <w:color w:val="000000"/>
        </w:rPr>
        <w:t xml:space="preserve"> обладают серьёзным недостатком – неудовлетворительной скоростью </w:t>
      </w:r>
      <w:proofErr w:type="spellStart"/>
      <w:r>
        <w:rPr>
          <w:color w:val="000000"/>
        </w:rPr>
        <w:t>биорезорбции</w:t>
      </w:r>
      <w:proofErr w:type="spellEnd"/>
      <w:r>
        <w:rPr>
          <w:color w:val="000000"/>
        </w:rPr>
        <w:t xml:space="preserve">, </w:t>
      </w:r>
      <w:r w:rsidRPr="00312580">
        <w:rPr>
          <w:color w:val="000000"/>
        </w:rPr>
        <w:t>TCP</w:t>
      </w:r>
      <w:r>
        <w:rPr>
          <w:color w:val="000000"/>
        </w:rPr>
        <w:t xml:space="preserve"> -</w:t>
      </w:r>
      <w:r w:rsidRPr="00312580">
        <w:rPr>
          <w:color w:val="000000"/>
        </w:rPr>
        <w:t xml:space="preserve"> слишком высок</w:t>
      </w:r>
      <w:r>
        <w:rPr>
          <w:color w:val="000000"/>
        </w:rPr>
        <w:t>ой</w:t>
      </w:r>
      <w:r w:rsidRPr="00312580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312580">
        <w:rPr>
          <w:color w:val="000000"/>
        </w:rPr>
        <w:t>HAp</w:t>
      </w:r>
      <w:proofErr w:type="spellEnd"/>
      <w:r>
        <w:rPr>
          <w:color w:val="000000"/>
        </w:rPr>
        <w:t xml:space="preserve"> – слишком низкой</w:t>
      </w:r>
      <w:r w:rsidRPr="00312580">
        <w:rPr>
          <w:color w:val="000000"/>
        </w:rPr>
        <w:t xml:space="preserve">. Недавно было показано [1], что высокой </w:t>
      </w:r>
      <w:proofErr w:type="spellStart"/>
      <w:r w:rsidRPr="00312580">
        <w:rPr>
          <w:color w:val="000000"/>
        </w:rPr>
        <w:t>биосовместимостью</w:t>
      </w:r>
      <w:proofErr w:type="spellEnd"/>
      <w:r w:rsidRPr="00312580">
        <w:rPr>
          <w:color w:val="000000"/>
        </w:rPr>
        <w:t xml:space="preserve"> и</w:t>
      </w:r>
      <w:r>
        <w:rPr>
          <w:color w:val="000000"/>
        </w:rPr>
        <w:t xml:space="preserve"> </w:t>
      </w:r>
      <w:proofErr w:type="spellStart"/>
      <w:r w:rsidRPr="00312580">
        <w:rPr>
          <w:color w:val="000000"/>
        </w:rPr>
        <w:t>биорезорбцией</w:t>
      </w:r>
      <w:proofErr w:type="spellEnd"/>
      <w:r w:rsidRPr="00312580">
        <w:rPr>
          <w:color w:val="000000"/>
        </w:rPr>
        <w:t xml:space="preserve"> обладает карбонизированный апатит (</w:t>
      </w:r>
      <w:proofErr w:type="spellStart"/>
      <w:r w:rsidRPr="00312580">
        <w:rPr>
          <w:color w:val="000000"/>
        </w:rPr>
        <w:t>carbonated</w:t>
      </w:r>
      <w:proofErr w:type="spellEnd"/>
      <w:r w:rsidRPr="00312580">
        <w:rPr>
          <w:color w:val="000000"/>
        </w:rPr>
        <w:t xml:space="preserve"> </w:t>
      </w:r>
      <w:proofErr w:type="spellStart"/>
      <w:r w:rsidRPr="00312580">
        <w:rPr>
          <w:color w:val="000000"/>
        </w:rPr>
        <w:t>apatite</w:t>
      </w:r>
      <w:proofErr w:type="spellEnd"/>
      <w:r>
        <w:rPr>
          <w:color w:val="000000"/>
        </w:rPr>
        <w:t xml:space="preserve">, </w:t>
      </w:r>
      <w:proofErr w:type="spellStart"/>
      <w:r w:rsidRPr="00312580">
        <w:rPr>
          <w:color w:val="000000"/>
        </w:rPr>
        <w:t>CAp</w:t>
      </w:r>
      <w:proofErr w:type="spellEnd"/>
      <w:r w:rsidRPr="00312580">
        <w:rPr>
          <w:color w:val="000000"/>
        </w:rPr>
        <w:t>).</w:t>
      </w:r>
      <w:r>
        <w:rPr>
          <w:color w:val="000000"/>
        </w:rPr>
        <w:t xml:space="preserve"> </w:t>
      </w:r>
      <w:r w:rsidRPr="00312580">
        <w:rPr>
          <w:color w:val="000000"/>
        </w:rPr>
        <w:t>Также было показано, что поли(</w:t>
      </w:r>
      <w:proofErr w:type="spellStart"/>
      <w:r w:rsidRPr="00312580">
        <w:rPr>
          <w:color w:val="000000"/>
        </w:rPr>
        <w:t>этиленфосфорная</w:t>
      </w:r>
      <w:proofErr w:type="spellEnd"/>
      <w:r w:rsidRPr="00312580">
        <w:rPr>
          <w:color w:val="000000"/>
        </w:rPr>
        <w:t xml:space="preserve"> кислота) (−OP(O)OCH</w:t>
      </w:r>
      <w:r w:rsidRPr="00312580">
        <w:rPr>
          <w:color w:val="000000"/>
          <w:vertAlign w:val="subscript"/>
        </w:rPr>
        <w:t>2</w:t>
      </w:r>
      <w:r w:rsidRPr="00312580">
        <w:rPr>
          <w:color w:val="000000"/>
        </w:rPr>
        <w:t>СН</w:t>
      </w:r>
      <w:r w:rsidRPr="00312580">
        <w:rPr>
          <w:color w:val="000000"/>
          <w:vertAlign w:val="subscript"/>
        </w:rPr>
        <w:t>2</w:t>
      </w:r>
      <w:r w:rsidRPr="00312580">
        <w:rPr>
          <w:color w:val="000000"/>
        </w:rPr>
        <w:t>−)</w:t>
      </w:r>
      <w:r w:rsidRPr="00312580">
        <w:rPr>
          <w:color w:val="000000"/>
          <w:vertAlign w:val="subscript"/>
          <w:lang w:val="en-US"/>
        </w:rPr>
        <w:t>n</w:t>
      </w:r>
      <w:r w:rsidRPr="00312580">
        <w:rPr>
          <w:color w:val="000000"/>
        </w:rPr>
        <w:t xml:space="preserve"> (PEPA) обладает высокой </w:t>
      </w:r>
      <w:proofErr w:type="spellStart"/>
      <w:r w:rsidRPr="00312580">
        <w:rPr>
          <w:color w:val="000000"/>
        </w:rPr>
        <w:t>остеоиндуктивностью</w:t>
      </w:r>
      <w:proofErr w:type="spellEnd"/>
      <w:r w:rsidRPr="00312580">
        <w:rPr>
          <w:color w:val="000000"/>
        </w:rPr>
        <w:t xml:space="preserve"> [2]. Поэтому мы решили приготовить композитные материалы</w:t>
      </w:r>
      <w:r w:rsidR="00331C3C" w:rsidRPr="00331C3C">
        <w:rPr>
          <w:color w:val="000000"/>
        </w:rPr>
        <w:t xml:space="preserve"> </w:t>
      </w:r>
      <w:r w:rsidR="00331C3C">
        <w:rPr>
          <w:color w:val="000000"/>
          <w:lang w:val="en-US"/>
        </w:rPr>
        <w:t>c</w:t>
      </w:r>
      <w:r w:rsidR="00331C3C" w:rsidRPr="00331C3C">
        <w:rPr>
          <w:color w:val="000000"/>
        </w:rPr>
        <w:t xml:space="preserve"> </w:t>
      </w:r>
      <w:r w:rsidR="00331C3C">
        <w:rPr>
          <w:color w:val="000000"/>
        </w:rPr>
        <w:t>оптимальными биологическими свойствами</w:t>
      </w:r>
      <w:r w:rsidRPr="00312580">
        <w:rPr>
          <w:color w:val="000000"/>
        </w:rPr>
        <w:t xml:space="preserve"> на основе </w:t>
      </w:r>
      <w:proofErr w:type="spellStart"/>
      <w:r w:rsidRPr="00312580">
        <w:rPr>
          <w:color w:val="000000"/>
          <w:lang w:val="en-US"/>
        </w:rPr>
        <w:t>CAp</w:t>
      </w:r>
      <w:proofErr w:type="spellEnd"/>
      <w:r w:rsidRPr="00312580">
        <w:rPr>
          <w:color w:val="000000"/>
        </w:rPr>
        <w:t xml:space="preserve"> и </w:t>
      </w:r>
      <w:r w:rsidRPr="00312580">
        <w:rPr>
          <w:color w:val="000000"/>
          <w:lang w:val="en-US"/>
        </w:rPr>
        <w:t>PEPA</w:t>
      </w:r>
      <w:r w:rsidRPr="00312580">
        <w:rPr>
          <w:color w:val="000000"/>
        </w:rPr>
        <w:t>, а также других биорезорбируемых полимеров</w:t>
      </w:r>
      <w:r w:rsidR="00120F48">
        <w:rPr>
          <w:color w:val="000000"/>
        </w:rPr>
        <w:t>.</w:t>
      </w:r>
    </w:p>
    <w:p w14:paraId="29A60C13" w14:textId="43A24F84" w:rsidR="00006F49" w:rsidRDefault="00331C3C" w:rsidP="00FD7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97"/>
        <w:jc w:val="both"/>
        <w:rPr>
          <w:color w:val="000000"/>
        </w:rPr>
      </w:pPr>
      <w:r w:rsidRPr="00331C3C">
        <w:rPr>
          <w:color w:val="000000"/>
        </w:rPr>
        <w:t xml:space="preserve">Синтезированы </w:t>
      </w:r>
      <w:proofErr w:type="spellStart"/>
      <w:r w:rsidRPr="00331C3C">
        <w:rPr>
          <w:color w:val="000000"/>
        </w:rPr>
        <w:t>карбонатапатиты</w:t>
      </w:r>
      <w:proofErr w:type="spellEnd"/>
      <w:r w:rsidRPr="00331C3C">
        <w:rPr>
          <w:color w:val="000000"/>
        </w:rPr>
        <w:t xml:space="preserve"> двух различных морфологий – пластинчатой (</w:t>
      </w:r>
      <w:proofErr w:type="spellStart"/>
      <w:r w:rsidRPr="00331C3C">
        <w:rPr>
          <w:color w:val="000000"/>
          <w:lang w:val="en-US"/>
        </w:rPr>
        <w:t>pCAp</w:t>
      </w:r>
      <w:proofErr w:type="spellEnd"/>
      <w:r w:rsidRPr="00331C3C">
        <w:rPr>
          <w:color w:val="000000"/>
        </w:rPr>
        <w:t>) и гексагональной (</w:t>
      </w:r>
      <w:proofErr w:type="spellStart"/>
      <w:r w:rsidRPr="00331C3C">
        <w:rPr>
          <w:color w:val="000000"/>
          <w:lang w:val="en-US"/>
        </w:rPr>
        <w:t>hCAp</w:t>
      </w:r>
      <w:proofErr w:type="spellEnd"/>
      <w:r w:rsidRPr="00331C3C">
        <w:rPr>
          <w:color w:val="000000"/>
        </w:rPr>
        <w:t xml:space="preserve">). </w:t>
      </w:r>
      <w:r w:rsidRPr="00331C3C">
        <w:rPr>
          <w:color w:val="000000"/>
          <w:lang w:bidi="en-US"/>
        </w:rPr>
        <w:t xml:space="preserve">Исследования </w:t>
      </w:r>
      <w:proofErr w:type="spellStart"/>
      <w:r w:rsidRPr="00331C3C">
        <w:rPr>
          <w:i/>
          <w:color w:val="000000"/>
          <w:lang w:bidi="en-US"/>
        </w:rPr>
        <w:t>in</w:t>
      </w:r>
      <w:proofErr w:type="spellEnd"/>
      <w:r w:rsidRPr="00331C3C">
        <w:rPr>
          <w:i/>
          <w:color w:val="000000"/>
          <w:lang w:bidi="en-US"/>
        </w:rPr>
        <w:t xml:space="preserve"> </w:t>
      </w:r>
      <w:proofErr w:type="spellStart"/>
      <w:r w:rsidRPr="00331C3C">
        <w:rPr>
          <w:i/>
          <w:color w:val="000000"/>
          <w:lang w:bidi="en-US"/>
        </w:rPr>
        <w:t>vitro</w:t>
      </w:r>
      <w:proofErr w:type="spellEnd"/>
      <w:r w:rsidRPr="00331C3C">
        <w:rPr>
          <w:i/>
          <w:color w:val="000000"/>
          <w:lang w:bidi="en-US"/>
        </w:rPr>
        <w:t xml:space="preserve"> </w:t>
      </w:r>
      <w:r w:rsidRPr="00331C3C">
        <w:rPr>
          <w:iCs/>
          <w:color w:val="000000"/>
          <w:lang w:bidi="en-US"/>
        </w:rPr>
        <w:t xml:space="preserve">и </w:t>
      </w:r>
      <w:proofErr w:type="spellStart"/>
      <w:r w:rsidRPr="00331C3C">
        <w:rPr>
          <w:i/>
          <w:color w:val="000000"/>
          <w:lang w:bidi="en-US"/>
        </w:rPr>
        <w:t>in</w:t>
      </w:r>
      <w:proofErr w:type="spellEnd"/>
      <w:r>
        <w:rPr>
          <w:i/>
          <w:color w:val="000000"/>
          <w:lang w:bidi="en-US"/>
        </w:rPr>
        <w:t> </w:t>
      </w:r>
      <w:proofErr w:type="spellStart"/>
      <w:r w:rsidRPr="00331C3C">
        <w:rPr>
          <w:i/>
          <w:color w:val="000000"/>
          <w:lang w:bidi="en-US"/>
        </w:rPr>
        <w:t>vivo</w:t>
      </w:r>
      <w:proofErr w:type="spellEnd"/>
      <w:r w:rsidRPr="00331C3C">
        <w:rPr>
          <w:color w:val="000000"/>
          <w:lang w:bidi="en-US"/>
        </w:rPr>
        <w:t xml:space="preserve"> показали скорость растворения и </w:t>
      </w:r>
      <w:proofErr w:type="spellStart"/>
      <w:r>
        <w:rPr>
          <w:color w:val="000000"/>
          <w:lang w:bidi="en-US"/>
        </w:rPr>
        <w:t>био</w:t>
      </w:r>
      <w:r w:rsidRPr="00331C3C">
        <w:rPr>
          <w:color w:val="000000"/>
          <w:lang w:bidi="en-US"/>
        </w:rPr>
        <w:t>резорбции</w:t>
      </w:r>
      <w:proofErr w:type="spellEnd"/>
      <w:r w:rsidRPr="00331C3C">
        <w:rPr>
          <w:color w:val="000000"/>
          <w:lang w:bidi="en-US"/>
        </w:rPr>
        <w:t xml:space="preserve"> </w:t>
      </w:r>
      <w:proofErr w:type="spellStart"/>
      <w:r w:rsidRPr="00331C3C">
        <w:rPr>
          <w:color w:val="000000"/>
          <w:lang w:bidi="en-US"/>
        </w:rPr>
        <w:t>CAp</w:t>
      </w:r>
      <w:proofErr w:type="spellEnd"/>
      <w:r>
        <w:rPr>
          <w:color w:val="000000"/>
          <w:lang w:bidi="en-US"/>
        </w:rPr>
        <w:t>,</w:t>
      </w:r>
      <w:r w:rsidRPr="00331C3C">
        <w:rPr>
          <w:color w:val="000000"/>
          <w:lang w:bidi="en-US"/>
        </w:rPr>
        <w:t xml:space="preserve"> промежуточную между </w:t>
      </w:r>
      <w:proofErr w:type="spellStart"/>
      <w:r w:rsidRPr="00331C3C">
        <w:rPr>
          <w:color w:val="000000"/>
          <w:lang w:bidi="en-US"/>
        </w:rPr>
        <w:t>HAр</w:t>
      </w:r>
      <w:proofErr w:type="spellEnd"/>
      <w:r w:rsidRPr="00331C3C">
        <w:rPr>
          <w:color w:val="000000"/>
          <w:lang w:bidi="en-US"/>
        </w:rPr>
        <w:t xml:space="preserve"> и TCP, а также наиболее высокую </w:t>
      </w:r>
      <w:proofErr w:type="spellStart"/>
      <w:r w:rsidRPr="00331C3C">
        <w:rPr>
          <w:color w:val="000000"/>
          <w:lang w:bidi="en-US"/>
        </w:rPr>
        <w:t>биосовместимость</w:t>
      </w:r>
      <w:proofErr w:type="spellEnd"/>
      <w:r w:rsidRPr="00331C3C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p</w:t>
      </w:r>
      <w:proofErr w:type="spellStart"/>
      <w:r w:rsidRPr="00331C3C">
        <w:rPr>
          <w:color w:val="000000"/>
          <w:lang w:bidi="en-US"/>
        </w:rPr>
        <w:t>CAp</w:t>
      </w:r>
      <w:proofErr w:type="spellEnd"/>
      <w:r w:rsidRPr="00331C3C">
        <w:rPr>
          <w:color w:val="000000"/>
          <w:lang w:bidi="en-US"/>
        </w:rPr>
        <w:t xml:space="preserve"> </w:t>
      </w:r>
      <w:r>
        <w:rPr>
          <w:color w:val="000000"/>
          <w:lang w:bidi="en-US"/>
        </w:rPr>
        <w:t>(Рис. 1)</w:t>
      </w:r>
      <w:r w:rsidRPr="00331C3C">
        <w:rPr>
          <w:color w:val="000000"/>
          <w:lang w:bidi="en-US"/>
        </w:rPr>
        <w:t xml:space="preserve">. </w:t>
      </w:r>
      <w:r w:rsidRPr="00331C3C">
        <w:rPr>
          <w:color w:val="000000"/>
        </w:rPr>
        <w:t xml:space="preserve">Проведены эксперименты по регенерации костной ткани на модели дефекта большеберцовой кости крыс с использованием гранул </w:t>
      </w:r>
      <w:proofErr w:type="spellStart"/>
      <w:r w:rsidRPr="00331C3C">
        <w:rPr>
          <w:color w:val="000000"/>
        </w:rPr>
        <w:t>pCAp</w:t>
      </w:r>
      <w:proofErr w:type="spellEnd"/>
      <w:r w:rsidRPr="00331C3C">
        <w:rPr>
          <w:color w:val="000000"/>
        </w:rPr>
        <w:t xml:space="preserve">, а также </w:t>
      </w:r>
      <w:proofErr w:type="spellStart"/>
      <w:r w:rsidRPr="00331C3C">
        <w:rPr>
          <w:color w:val="000000"/>
        </w:rPr>
        <w:t>pCAp</w:t>
      </w:r>
      <w:proofErr w:type="spellEnd"/>
      <w:r w:rsidRPr="00331C3C">
        <w:rPr>
          <w:color w:val="000000"/>
        </w:rPr>
        <w:t>, содержащего PEPA (</w:t>
      </w:r>
      <w:proofErr w:type="spellStart"/>
      <w:r w:rsidRPr="00331C3C">
        <w:rPr>
          <w:color w:val="000000"/>
        </w:rPr>
        <w:t>pCAp</w:t>
      </w:r>
      <w:proofErr w:type="spellEnd"/>
      <w:r w:rsidRPr="00331C3C">
        <w:rPr>
          <w:color w:val="000000"/>
        </w:rPr>
        <w:t>-PEPA) и других биорезорбируемых полимеров. В ходе экспериментов</w:t>
      </w:r>
      <w:r w:rsidRPr="00331C3C">
        <w:rPr>
          <w:i/>
          <w:iCs/>
          <w:color w:val="000000"/>
        </w:rPr>
        <w:t xml:space="preserve"> </w:t>
      </w:r>
      <w:r w:rsidRPr="008442E9">
        <w:rPr>
          <w:color w:val="000000"/>
        </w:rPr>
        <w:t xml:space="preserve">по исследованию </w:t>
      </w:r>
      <w:proofErr w:type="spellStart"/>
      <w:r w:rsidRPr="008442E9">
        <w:rPr>
          <w:color w:val="000000"/>
        </w:rPr>
        <w:t>биосовместимости</w:t>
      </w:r>
      <w:proofErr w:type="spellEnd"/>
      <w:r w:rsidRPr="008442E9">
        <w:rPr>
          <w:color w:val="000000"/>
        </w:rPr>
        <w:t xml:space="preserve"> и </w:t>
      </w:r>
      <w:proofErr w:type="spellStart"/>
      <w:r w:rsidRPr="008442E9">
        <w:rPr>
          <w:color w:val="000000"/>
        </w:rPr>
        <w:t>биорезорбции</w:t>
      </w:r>
      <w:proofErr w:type="spellEnd"/>
      <w:r w:rsidRPr="00331C3C">
        <w:rPr>
          <w:color w:val="000000"/>
        </w:rPr>
        <w:t xml:space="preserve"> были получены превосходные результаты, которые будут обсуждены в докладе.</w:t>
      </w:r>
    </w:p>
    <w:p w14:paraId="622A067F" w14:textId="6B379F38" w:rsidR="00006F49" w:rsidRDefault="008442E9" w:rsidP="0084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08F869D" wp14:editId="246F854F">
            <wp:extent cx="4305300" cy="2041428"/>
            <wp:effectExtent l="0" t="0" r="0" b="0"/>
            <wp:docPr id="14392636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897" cy="20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E9D98" w14:textId="7B685EA2" w:rsidR="00FD7A18" w:rsidRDefault="00000000" w:rsidP="003F55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Рис. 1. </w:t>
      </w:r>
      <w:proofErr w:type="spellStart"/>
      <w:r>
        <w:rPr>
          <w:color w:val="000000"/>
        </w:rPr>
        <w:t>Карбонатапатит</w:t>
      </w:r>
      <w:proofErr w:type="spellEnd"/>
      <w:r>
        <w:rPr>
          <w:color w:val="000000"/>
        </w:rPr>
        <w:t xml:space="preserve"> с пластинчатой морфологией</w:t>
      </w:r>
      <w:r w:rsidR="00312580">
        <w:rPr>
          <w:color w:val="000000"/>
        </w:rPr>
        <w:t xml:space="preserve"> (</w:t>
      </w:r>
      <w:r w:rsidR="007318F7">
        <w:rPr>
          <w:color w:val="000000"/>
          <w:lang w:val="en-US"/>
        </w:rPr>
        <w:t>p</w:t>
      </w:r>
      <w:proofErr w:type="spellStart"/>
      <w:r>
        <w:rPr>
          <w:color w:val="000000"/>
        </w:rPr>
        <w:t>CAp</w:t>
      </w:r>
      <w:proofErr w:type="spellEnd"/>
      <w:r w:rsidR="00312580">
        <w:rPr>
          <w:color w:val="000000"/>
        </w:rPr>
        <w:t>)</w:t>
      </w:r>
      <w:r w:rsidR="007318F7">
        <w:rPr>
          <w:color w:val="000000"/>
        </w:rPr>
        <w:t xml:space="preserve">, </w:t>
      </w:r>
      <w:proofErr w:type="spellStart"/>
      <w:r w:rsidR="007318F7">
        <w:rPr>
          <w:color w:val="000000"/>
        </w:rPr>
        <w:t>к</w:t>
      </w:r>
      <w:r>
        <w:rPr>
          <w:color w:val="000000"/>
        </w:rPr>
        <w:t>арбонатапатит</w:t>
      </w:r>
      <w:proofErr w:type="spellEnd"/>
      <w:r>
        <w:rPr>
          <w:color w:val="000000"/>
        </w:rPr>
        <w:t xml:space="preserve"> с гексагональной морфологией</w:t>
      </w:r>
      <w:r w:rsidR="00312580">
        <w:rPr>
          <w:color w:val="000000"/>
        </w:rPr>
        <w:t xml:space="preserve"> (</w:t>
      </w:r>
      <w:r w:rsidR="007318F7">
        <w:rPr>
          <w:color w:val="000000"/>
          <w:lang w:val="en-US"/>
        </w:rPr>
        <w:t>h</w:t>
      </w:r>
      <w:proofErr w:type="spellStart"/>
      <w:r>
        <w:rPr>
          <w:color w:val="000000"/>
        </w:rPr>
        <w:t>CAp</w:t>
      </w:r>
      <w:proofErr w:type="spellEnd"/>
      <w:r w:rsidR="00312580">
        <w:rPr>
          <w:color w:val="000000"/>
        </w:rPr>
        <w:t>)</w:t>
      </w:r>
      <w:r w:rsidR="007318F7" w:rsidRPr="007318F7">
        <w:rPr>
          <w:color w:val="000000"/>
        </w:rPr>
        <w:t xml:space="preserve">, </w:t>
      </w:r>
      <w:r w:rsidR="007318F7">
        <w:rPr>
          <w:color w:val="000000"/>
        </w:rPr>
        <w:t>с</w:t>
      </w:r>
      <w:r>
        <w:rPr>
          <w:color w:val="000000"/>
        </w:rPr>
        <w:t xml:space="preserve">равнительная эффективность резорбции </w:t>
      </w:r>
      <w:proofErr w:type="spellStart"/>
      <w:r>
        <w:rPr>
          <w:i/>
          <w:color w:val="000000"/>
        </w:rPr>
        <w:t>in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vivo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HAp</w:t>
      </w:r>
      <w:proofErr w:type="spellEnd"/>
      <w:r>
        <w:rPr>
          <w:color w:val="000000"/>
        </w:rPr>
        <w:t xml:space="preserve">, β-TCP, </w:t>
      </w:r>
      <w:proofErr w:type="spellStart"/>
      <w:r w:rsidR="00312580">
        <w:rPr>
          <w:color w:val="000000"/>
        </w:rPr>
        <w:t>р</w:t>
      </w:r>
      <w:r>
        <w:rPr>
          <w:color w:val="000000"/>
        </w:rPr>
        <w:t>CAp</w:t>
      </w:r>
      <w:proofErr w:type="spellEnd"/>
      <w:r>
        <w:rPr>
          <w:color w:val="000000"/>
        </w:rPr>
        <w:t xml:space="preserve">, </w:t>
      </w:r>
      <w:r w:rsidR="00312580">
        <w:rPr>
          <w:color w:val="000000"/>
          <w:lang w:val="en-US"/>
        </w:rPr>
        <w:t>h</w:t>
      </w:r>
      <w:proofErr w:type="spellStart"/>
      <w:r>
        <w:rPr>
          <w:color w:val="000000"/>
        </w:rPr>
        <w:t>CAp</w:t>
      </w:r>
      <w:proofErr w:type="spellEnd"/>
      <w:r w:rsidR="00312580">
        <w:rPr>
          <w:color w:val="000000"/>
        </w:rPr>
        <w:t xml:space="preserve">, анизотропия кристаллов </w:t>
      </w:r>
      <w:r w:rsidR="00312580">
        <w:rPr>
          <w:color w:val="000000"/>
          <w:lang w:val="en-US"/>
        </w:rPr>
        <w:t>C</w:t>
      </w:r>
      <w:r w:rsidR="003F5546">
        <w:rPr>
          <w:color w:val="000000"/>
          <w:lang w:val="en-US"/>
        </w:rPr>
        <w:t>a</w:t>
      </w:r>
      <w:r w:rsidR="00312580">
        <w:rPr>
          <w:color w:val="000000"/>
          <w:lang w:val="en-US"/>
        </w:rPr>
        <w:t>p</w:t>
      </w:r>
    </w:p>
    <w:p w14:paraId="6528472C" w14:textId="77777777" w:rsidR="003F5546" w:rsidRDefault="003F5546" w:rsidP="003F55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E6AE5BE" w14:textId="3B897806" w:rsidR="00FD7A18" w:rsidRDefault="00000000" w:rsidP="003F5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поддержке РНФ, грант 21-73-30010</w:t>
      </w:r>
    </w:p>
    <w:p w14:paraId="22CB5854" w14:textId="6E036363" w:rsidR="00FD7A18" w:rsidRPr="003F5546" w:rsidRDefault="00000000" w:rsidP="003F5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CD6233A" w14:textId="6716965E" w:rsidR="008442E9" w:rsidRPr="008442E9" w:rsidRDefault="003F5546" w:rsidP="003F5546">
      <w:pPr>
        <w:pStyle w:val="a6"/>
        <w:autoSpaceDE w:val="0"/>
        <w:autoSpaceDN w:val="0"/>
        <w:adjustRightInd w:val="0"/>
        <w:ind w:leftChars="0" w:left="0" w:firstLineChars="0" w:firstLine="0"/>
        <w:jc w:val="both"/>
        <w:rPr>
          <w:rFonts w:eastAsia="ArnoPro-Regular"/>
          <w:iCs/>
          <w:lang w:val="en-US"/>
        </w:rPr>
      </w:pPr>
      <w:r w:rsidRPr="003F5546">
        <w:rPr>
          <w:rFonts w:eastAsia="ArnoPro-Regular"/>
          <w:lang w:val="en-US"/>
        </w:rPr>
        <w:t xml:space="preserve">1. </w:t>
      </w:r>
      <w:proofErr w:type="spellStart"/>
      <w:r w:rsidR="00312580" w:rsidRPr="008442E9">
        <w:rPr>
          <w:rFonts w:eastAsia="ArnoPro-Regular"/>
          <w:lang w:val="en-US"/>
        </w:rPr>
        <w:t>Nifant’ev</w:t>
      </w:r>
      <w:proofErr w:type="spellEnd"/>
      <w:r w:rsidR="00312580" w:rsidRPr="008442E9">
        <w:rPr>
          <w:rFonts w:eastAsia="ArnoPro-Regular"/>
          <w:lang w:val="en-US"/>
        </w:rPr>
        <w:t xml:space="preserve"> </w:t>
      </w:r>
      <w:r w:rsidR="008442E9" w:rsidRPr="008442E9">
        <w:rPr>
          <w:rFonts w:eastAsia="ArnoPro-Regular"/>
          <w:lang w:val="en-US" w:bidi="en-US"/>
        </w:rPr>
        <w:t xml:space="preserve">I.E., </w:t>
      </w:r>
      <w:proofErr w:type="spellStart"/>
      <w:r w:rsidR="008442E9" w:rsidRPr="008442E9">
        <w:rPr>
          <w:rFonts w:eastAsia="ArnoPro-Regular"/>
          <w:lang w:val="en-US" w:bidi="en-US"/>
        </w:rPr>
        <w:t>Ryndyk</w:t>
      </w:r>
      <w:proofErr w:type="spellEnd"/>
      <w:r w:rsidR="008442E9" w:rsidRPr="008442E9">
        <w:rPr>
          <w:rFonts w:eastAsia="ArnoPro-Regular"/>
          <w:lang w:val="en-US" w:bidi="en-US"/>
        </w:rPr>
        <w:t xml:space="preserve"> M.P., et al. Crystalline Micro-Sized Carbonated </w:t>
      </w:r>
      <w:proofErr w:type="spellStart"/>
      <w:r w:rsidR="008442E9" w:rsidRPr="008442E9">
        <w:rPr>
          <w:rFonts w:eastAsia="ArnoPro-Regular"/>
          <w:lang w:val="en-US" w:bidi="en-US"/>
        </w:rPr>
        <w:t>Apatites</w:t>
      </w:r>
      <w:proofErr w:type="spellEnd"/>
      <w:r w:rsidR="008442E9" w:rsidRPr="008442E9">
        <w:rPr>
          <w:rFonts w:eastAsia="ArnoPro-Regular"/>
          <w:lang w:val="en-US" w:bidi="en-US"/>
        </w:rPr>
        <w:t xml:space="preserve">: Chemical Anisotropy of the Crystallite Surfaces, Biocompatibility, </w:t>
      </w:r>
      <w:proofErr w:type="spellStart"/>
      <w:r w:rsidR="008442E9" w:rsidRPr="008442E9">
        <w:rPr>
          <w:rFonts w:eastAsia="ArnoPro-Regular"/>
          <w:lang w:val="en-US" w:bidi="en-US"/>
        </w:rPr>
        <w:t>Osteoconductivity</w:t>
      </w:r>
      <w:proofErr w:type="spellEnd"/>
      <w:r w:rsidR="008442E9" w:rsidRPr="008442E9">
        <w:rPr>
          <w:rFonts w:eastAsia="ArnoPro-Regular"/>
          <w:lang w:val="en-US" w:bidi="en-US"/>
        </w:rPr>
        <w:t xml:space="preserve">, and </w:t>
      </w:r>
      <w:proofErr w:type="spellStart"/>
      <w:r w:rsidR="008442E9" w:rsidRPr="008442E9">
        <w:rPr>
          <w:rFonts w:eastAsia="ArnoPro-Regular"/>
          <w:lang w:val="en-US" w:bidi="en-US"/>
        </w:rPr>
        <w:t>Osteoinductive</w:t>
      </w:r>
      <w:proofErr w:type="spellEnd"/>
      <w:r w:rsidR="008442E9" w:rsidRPr="008442E9">
        <w:rPr>
          <w:rFonts w:eastAsia="ArnoPro-Regular"/>
          <w:lang w:val="en-US" w:bidi="en-US"/>
        </w:rPr>
        <w:t xml:space="preserve"> Effect Enhanced by </w:t>
      </w:r>
      <w:proofErr w:type="gramStart"/>
      <w:r w:rsidR="008442E9" w:rsidRPr="008442E9">
        <w:rPr>
          <w:rFonts w:eastAsia="ArnoPro-Regular"/>
          <w:lang w:val="en-US" w:bidi="en-US"/>
        </w:rPr>
        <w:t>Poly(</w:t>
      </w:r>
      <w:proofErr w:type="gramEnd"/>
      <w:r w:rsidR="008442E9" w:rsidRPr="008442E9">
        <w:rPr>
          <w:rFonts w:eastAsia="ArnoPro-Regular"/>
          <w:lang w:val="en-US" w:bidi="en-US"/>
        </w:rPr>
        <w:t>ethylene phosphoric acid) // ACS Appl Bio Mater. 2023. Vol. 6. P. 5067–5077</w:t>
      </w:r>
    </w:p>
    <w:p w14:paraId="28D757FC" w14:textId="150297DF" w:rsidR="009D2C05" w:rsidRPr="00FD7A18" w:rsidRDefault="003F5546" w:rsidP="003F5546">
      <w:pPr>
        <w:pStyle w:val="a6"/>
        <w:autoSpaceDE w:val="0"/>
        <w:autoSpaceDN w:val="0"/>
        <w:adjustRightInd w:val="0"/>
        <w:ind w:leftChars="0" w:left="0" w:firstLineChars="0" w:firstLine="0"/>
        <w:jc w:val="both"/>
        <w:rPr>
          <w:rFonts w:eastAsia="ArnoPro-Regular"/>
          <w:iCs/>
          <w:lang w:val="en-US"/>
        </w:rPr>
      </w:pPr>
      <w:r>
        <w:rPr>
          <w:rFonts w:eastAsia="ArnoPro-Regular"/>
        </w:rPr>
        <w:t xml:space="preserve">2. </w:t>
      </w:r>
      <w:proofErr w:type="spellStart"/>
      <w:r w:rsidR="008442E9" w:rsidRPr="008442E9">
        <w:rPr>
          <w:rFonts w:eastAsia="ArnoPro-Regular"/>
          <w:lang w:val="en-US"/>
        </w:rPr>
        <w:t>Nifant’ev</w:t>
      </w:r>
      <w:proofErr w:type="spellEnd"/>
      <w:r w:rsidR="008442E9" w:rsidRPr="008442E9">
        <w:rPr>
          <w:rFonts w:eastAsia="ArnoPro-Regular"/>
          <w:lang w:val="en-US"/>
        </w:rPr>
        <w:t xml:space="preserve"> I.</w:t>
      </w:r>
      <w:r w:rsidR="008442E9">
        <w:rPr>
          <w:rFonts w:eastAsia="ArnoPro-Regular"/>
          <w:lang w:val="en-US"/>
        </w:rPr>
        <w:t xml:space="preserve"> E.</w:t>
      </w:r>
      <w:r w:rsidR="008442E9" w:rsidRPr="008442E9">
        <w:rPr>
          <w:rFonts w:eastAsia="ArnoPro-Regular"/>
          <w:lang w:val="en-US"/>
        </w:rPr>
        <w:t xml:space="preserve">, </w:t>
      </w:r>
      <w:r w:rsidR="008442E9" w:rsidRPr="008442E9">
        <w:rPr>
          <w:rFonts w:eastAsia="ArnoPro-Regular"/>
          <w:lang w:val="en-GB"/>
        </w:rPr>
        <w:t>et al.</w:t>
      </w:r>
      <w:r w:rsidR="008442E9" w:rsidRPr="008442E9">
        <w:rPr>
          <w:rFonts w:eastAsia="ArnoPro-Regular"/>
          <w:lang w:val="en-US"/>
        </w:rPr>
        <w:t xml:space="preserve"> Osteogenic Differentiation of Human Adipose Tissue-Derived MSCs by Non-Toxic Calcium </w:t>
      </w:r>
      <w:proofErr w:type="gramStart"/>
      <w:r w:rsidR="008442E9" w:rsidRPr="008442E9">
        <w:rPr>
          <w:rFonts w:eastAsia="ArnoPro-Regular"/>
          <w:lang w:val="en-US"/>
        </w:rPr>
        <w:t>Poly(</w:t>
      </w:r>
      <w:proofErr w:type="gramEnd"/>
      <w:r w:rsidR="008442E9" w:rsidRPr="008442E9">
        <w:rPr>
          <w:rFonts w:eastAsia="ArnoPro-Regular"/>
          <w:lang w:val="en-US"/>
        </w:rPr>
        <w:t>ethylene phosphate)s //</w:t>
      </w:r>
      <w:r w:rsidR="008442E9" w:rsidRPr="00FD7A18">
        <w:rPr>
          <w:rFonts w:eastAsia="ArnoPro-Regular"/>
          <w:spacing w:val="-12"/>
          <w:lang w:val="en-US"/>
        </w:rPr>
        <w:t xml:space="preserve"> </w:t>
      </w:r>
      <w:r w:rsidR="008442E9" w:rsidRPr="00FD7A18">
        <w:rPr>
          <w:rFonts w:eastAsia="ArnoPro-Regular"/>
          <w:iCs/>
          <w:spacing w:val="-4"/>
          <w:lang w:val="en-US"/>
        </w:rPr>
        <w:t xml:space="preserve">Int. J. Mol. Sci. </w:t>
      </w:r>
      <w:r w:rsidR="008442E9" w:rsidRPr="00FD7A18">
        <w:rPr>
          <w:rFonts w:eastAsia="ArnoPro-Regular"/>
          <w:spacing w:val="-4"/>
          <w:lang w:val="en-US"/>
        </w:rPr>
        <w:t xml:space="preserve">2019. </w:t>
      </w:r>
      <w:r w:rsidR="008442E9" w:rsidRPr="00FD7A18">
        <w:rPr>
          <w:spacing w:val="-4"/>
          <w:lang w:val="en-US"/>
        </w:rPr>
        <w:t xml:space="preserve">V. </w:t>
      </w:r>
      <w:r w:rsidR="008442E9" w:rsidRPr="00FD7A18">
        <w:rPr>
          <w:rFonts w:eastAsia="ArnoPro-Regular"/>
          <w:iCs/>
          <w:spacing w:val="-4"/>
          <w:lang w:val="en-US"/>
        </w:rPr>
        <w:t>20.</w:t>
      </w:r>
      <w:r w:rsidR="008442E9" w:rsidRPr="00FD7A18">
        <w:rPr>
          <w:rFonts w:eastAsia="ArnoPro-Regular"/>
          <w:spacing w:val="-4"/>
          <w:lang w:val="en-US"/>
        </w:rPr>
        <w:t xml:space="preserve"> P</w:t>
      </w:r>
      <w:r w:rsidR="00FD7A18" w:rsidRPr="00FD7A18">
        <w:rPr>
          <w:rFonts w:eastAsia="ArnoPro-Regular"/>
          <w:spacing w:val="-4"/>
          <w:lang w:val="en-US"/>
        </w:rPr>
        <w:t>.</w:t>
      </w:r>
      <w:r w:rsidR="008442E9" w:rsidRPr="00FD7A18">
        <w:rPr>
          <w:rFonts w:eastAsia="ArnoPro-Regular"/>
          <w:spacing w:val="-4"/>
          <w:lang w:val="en-US"/>
        </w:rPr>
        <w:t xml:space="preserve"> 6242</w:t>
      </w:r>
      <w:r w:rsidR="00FD7A18" w:rsidRPr="00FD7A18">
        <w:rPr>
          <w:rFonts w:eastAsia="ArnoPro-Regular"/>
          <w:spacing w:val="-4"/>
          <w:lang w:val="en-US"/>
        </w:rPr>
        <w:noBreakHyphen/>
      </w:r>
      <w:r w:rsidR="008442E9" w:rsidRPr="00FD7A18">
        <w:rPr>
          <w:rFonts w:eastAsia="ArnoPro-Regular"/>
          <w:spacing w:val="-4"/>
          <w:lang w:val="en-US"/>
        </w:rPr>
        <w:t>6253</w:t>
      </w:r>
    </w:p>
    <w:sectPr w:rsidR="009D2C05" w:rsidRPr="00FD7A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Pro-Regular">
    <w:altName w:val="MS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C02B4"/>
    <w:multiLevelType w:val="hybridMultilevel"/>
    <w:tmpl w:val="2724E29E"/>
    <w:lvl w:ilvl="0" w:tplc="169CDC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448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9"/>
    <w:rsid w:val="00006F49"/>
    <w:rsid w:val="00120F48"/>
    <w:rsid w:val="00312580"/>
    <w:rsid w:val="00331C3C"/>
    <w:rsid w:val="003F5546"/>
    <w:rsid w:val="007318F7"/>
    <w:rsid w:val="008442E9"/>
    <w:rsid w:val="009D2C05"/>
    <w:rsid w:val="00B70499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726"/>
  <w15:docId w15:val="{A621377D-B175-4E4D-89EA-E4F93C3D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a0"/>
    <w:rPr>
      <w:rFonts w:ascii="Cambria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a0"/>
    <w:rPr>
      <w:rFonts w:ascii="Cambria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a0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a0"/>
    <w:rPr>
      <w:rFonts w:ascii="Calibri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a0"/>
    <w:rPr>
      <w:rFonts w:ascii="Calibri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Название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a0"/>
    <w:rPr>
      <w:rFonts w:ascii="Cambria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normal3">
    <w:name w:val="normal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1">
    <w:name w:val="Table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2">
    <w:name w:val="Table 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3">
    <w:name w:val="Table Normal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a0"/>
    <w:rPr>
      <w:rFonts w:ascii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</w:pPr>
  </w:style>
  <w:style w:type="character" w:customStyle="1" w:styleId="ListParagraphChar">
    <w:name w:val="List Paragraph Cha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laceholder Text"/>
    <w:basedOn w:val="a0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a9">
    <w:name w:val="Hyperlink"/>
    <w:basedOn w:val="a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basedOn w:val="a0"/>
    <w:rPr>
      <w:color w:val="auto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table" w:customStyle="1" w:styleId="ab">
    <w:name w:val="Стиль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Стиль23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Стиль22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Стиль2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Стиль2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Стиль19"/>
    <w:basedOn w:val="TableNormal4"/>
    <w:tblPr>
      <w:tblStyleRowBandSize w:val="1"/>
      <w:tblStyleColBandSize w:val="1"/>
    </w:tblPr>
  </w:style>
  <w:style w:type="table" w:customStyle="1" w:styleId="18">
    <w:name w:val="Стиль18"/>
    <w:basedOn w:val="TableNormal4"/>
    <w:tblPr>
      <w:tblStyleRowBandSize w:val="1"/>
      <w:tblStyleColBandSize w:val="1"/>
    </w:tblPr>
  </w:style>
  <w:style w:type="table" w:customStyle="1" w:styleId="17">
    <w:name w:val="Стиль17"/>
    <w:basedOn w:val="TableNormal4"/>
    <w:tblPr>
      <w:tblStyleRowBandSize w:val="1"/>
      <w:tblStyleColBandSize w:val="1"/>
    </w:tblPr>
  </w:style>
  <w:style w:type="table" w:customStyle="1" w:styleId="16">
    <w:name w:val="Стиль16"/>
    <w:basedOn w:val="TableNormal4"/>
    <w:tblPr>
      <w:tblStyleRowBandSize w:val="1"/>
      <w:tblStyleColBandSize w:val="1"/>
    </w:tblPr>
  </w:style>
  <w:style w:type="table" w:customStyle="1" w:styleId="15">
    <w:name w:val="Стиль15"/>
    <w:basedOn w:val="TableNormal4"/>
    <w:tblPr>
      <w:tblStyleRowBandSize w:val="1"/>
      <w:tblStyleColBandSize w:val="1"/>
    </w:tblPr>
  </w:style>
  <w:style w:type="table" w:customStyle="1" w:styleId="14">
    <w:name w:val="Стиль14"/>
    <w:basedOn w:val="TableNormal4"/>
    <w:tblPr>
      <w:tblStyleRowBandSize w:val="1"/>
      <w:tblStyleColBandSize w:val="1"/>
    </w:tblPr>
  </w:style>
  <w:style w:type="table" w:customStyle="1" w:styleId="13">
    <w:name w:val="Стиль13"/>
    <w:basedOn w:val="TableNormal4"/>
    <w:tblPr>
      <w:tblStyleRowBandSize w:val="1"/>
      <w:tblStyleColBandSize w:val="1"/>
    </w:tblPr>
  </w:style>
  <w:style w:type="table" w:customStyle="1" w:styleId="12">
    <w:name w:val="Стиль12"/>
    <w:basedOn w:val="TableNormal4"/>
    <w:tblPr>
      <w:tblStyleRowBandSize w:val="1"/>
      <w:tblStyleColBandSize w:val="1"/>
    </w:tblPr>
  </w:style>
  <w:style w:type="table" w:customStyle="1" w:styleId="11">
    <w:name w:val="Стиль11"/>
    <w:basedOn w:val="TableNormal4"/>
    <w:tblPr>
      <w:tblStyleRowBandSize w:val="1"/>
      <w:tblStyleColBandSize w:val="1"/>
    </w:tblPr>
  </w:style>
  <w:style w:type="table" w:customStyle="1" w:styleId="10">
    <w:name w:val="Стиль10"/>
    <w:basedOn w:val="TableNormal4"/>
    <w:tblPr>
      <w:tblStyleRowBandSize w:val="1"/>
      <w:tblStyleColBandSize w:val="1"/>
    </w:tblPr>
  </w:style>
  <w:style w:type="table" w:customStyle="1" w:styleId="9">
    <w:name w:val="Стиль9"/>
    <w:basedOn w:val="TableNormal4"/>
    <w:tblPr>
      <w:tblStyleRowBandSize w:val="1"/>
      <w:tblStyleColBandSize w:val="1"/>
    </w:tblPr>
  </w:style>
  <w:style w:type="table" w:customStyle="1" w:styleId="8">
    <w:name w:val="Стиль8"/>
    <w:basedOn w:val="TableNormal4"/>
    <w:tblPr>
      <w:tblStyleRowBandSize w:val="1"/>
      <w:tblStyleColBandSize w:val="1"/>
    </w:tblPr>
  </w:style>
  <w:style w:type="table" w:customStyle="1" w:styleId="7">
    <w:name w:val="Стиль7"/>
    <w:basedOn w:val="TableNormal4"/>
    <w:tblPr>
      <w:tblStyleRowBandSize w:val="1"/>
      <w:tblStyleColBandSize w:val="1"/>
    </w:tbl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60">
    <w:name w:val="Стиль6"/>
    <w:basedOn w:val="TableNormal1"/>
    <w:tblPr>
      <w:tblStyleRowBandSize w:val="1"/>
      <w:tblStyleColBandSize w:val="1"/>
    </w:tblPr>
  </w:style>
  <w:style w:type="table" w:customStyle="1" w:styleId="50">
    <w:name w:val="Стиль5"/>
    <w:basedOn w:val="TableNormal1"/>
    <w:tblPr>
      <w:tblStyleRowBandSize w:val="1"/>
      <w:tblStyleColBandSize w:val="1"/>
    </w:tblPr>
  </w:style>
  <w:style w:type="table" w:customStyle="1" w:styleId="40">
    <w:name w:val="Стиль4"/>
    <w:basedOn w:val="TableNormal1"/>
    <w:tblPr>
      <w:tblStyleRowBandSize w:val="1"/>
      <w:tblStyleColBandSize w:val="1"/>
    </w:tblPr>
  </w:style>
  <w:style w:type="table" w:customStyle="1" w:styleId="30">
    <w:name w:val="Стиль3"/>
    <w:basedOn w:val="TableNormal1"/>
    <w:tblPr>
      <w:tblStyleRowBandSize w:val="1"/>
      <w:tblStyleColBandSize w:val="1"/>
    </w:tblPr>
  </w:style>
  <w:style w:type="table" w:customStyle="1" w:styleId="24">
    <w:name w:val="Стиль2"/>
    <w:basedOn w:val="TableNormal1"/>
    <w:tblPr>
      <w:tblStyleRowBandSize w:val="1"/>
      <w:tblStyleColBandSize w:val="1"/>
    </w:tblPr>
  </w:style>
  <w:style w:type="table" w:customStyle="1" w:styleId="1a">
    <w:name w:val="Стиль1"/>
    <w:basedOn w:val="TableNormal1"/>
    <w:tblPr>
      <w:tblStyleRowBandSize w:val="1"/>
      <w:tblStyleColBandSize w:val="1"/>
    </w:tblPr>
  </w:style>
  <w:style w:type="table" w:styleId="ad">
    <w:name w:val="Table Grid"/>
    <w:basedOn w:val="a1"/>
    <w:uiPriority w:val="39"/>
    <w:rsid w:val="0073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1BTw5gBfd+n2gzCW5K2p3QE0vA==">AMUW2mUumRxYEXx3s0gaotVYxwQLImkbZ/uR7c9Y7opbfqXLD/I8iZaQKZFNgmC5ogUizWTN28iKkSSByrpRMbH+m7tl69Wd12mB9Xs/TeGtkY7FEdXOx5o=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Карлова</cp:lastModifiedBy>
  <cp:revision>4</cp:revision>
  <dcterms:created xsi:type="dcterms:W3CDTF">2024-02-16T18:17:00Z</dcterms:created>
  <dcterms:modified xsi:type="dcterms:W3CDTF">2024-03-04T08:19:00Z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